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A" w:rsidRDefault="00024ED8">
      <w:pPr>
        <w:rPr>
          <w:b/>
          <w:sz w:val="32"/>
          <w:u w:val="single"/>
        </w:rPr>
      </w:pPr>
      <w:r>
        <w:t xml:space="preserve">                                               </w:t>
      </w:r>
      <w:r>
        <w:rPr>
          <w:b/>
          <w:sz w:val="32"/>
          <w:u w:val="single"/>
        </w:rPr>
        <w:t>Kultura v krajích</w:t>
      </w:r>
    </w:p>
    <w:p w:rsidR="00024ED8" w:rsidRDefault="00024ED8">
      <w:pPr>
        <w:rPr>
          <w:b/>
          <w:sz w:val="28"/>
        </w:rPr>
      </w:pPr>
      <w:r>
        <w:rPr>
          <w:b/>
          <w:sz w:val="28"/>
        </w:rPr>
        <w:t xml:space="preserve">                  Problém návštěvnosti: kultura jen pro bohaté?</w:t>
      </w:r>
    </w:p>
    <w:p w:rsidR="00024ED8" w:rsidRDefault="00024ED8">
      <w:pPr>
        <w:rPr>
          <w:i/>
        </w:rPr>
      </w:pPr>
      <w:r>
        <w:rPr>
          <w:i/>
        </w:rPr>
        <w:t xml:space="preserve">                                             Prof. Ing. Petr Pernica, CSc.</w:t>
      </w:r>
    </w:p>
    <w:p w:rsidR="00024ED8" w:rsidRDefault="00024ED8">
      <w:pPr>
        <w:rPr>
          <w:i/>
        </w:rPr>
      </w:pPr>
    </w:p>
    <w:p w:rsidR="00024ED8" w:rsidRDefault="00024ED8" w:rsidP="005272E3">
      <w:pPr>
        <w:spacing w:line="240" w:lineRule="auto"/>
      </w:pPr>
      <w:r>
        <w:t>V prvním příspěvku tohoto seriálu byly citovány výsledky analýzy kulturních aktivit obyvatel 27 evropských zemí, z nichž vyplynula nadprůměrná úroveň participace obyvatel České republiky na kulturních aktivitách, srovnatelná se skandinávskými zeměmi</w:t>
      </w:r>
      <w:r w:rsidR="008D2A72">
        <w:t xml:space="preserve"> (konkrétně se Švédskem, Dánskem a Finskem), kde jejím</w:t>
      </w:r>
      <w:r w:rsidR="00C0137F">
        <w:t xml:space="preserve"> vysvětl</w:t>
      </w:r>
      <w:r w:rsidR="008D2A72">
        <w:t>ením může být, podle autora citované</w:t>
      </w:r>
      <w:r w:rsidR="00C0137F">
        <w:t xml:space="preserve"> analýzy, masová orientace na </w:t>
      </w:r>
      <w:proofErr w:type="spellStart"/>
      <w:r w:rsidR="00C0137F">
        <w:t>postmaterialismus</w:t>
      </w:r>
      <w:proofErr w:type="spellEnd"/>
      <w:r w:rsidR="00C0137F">
        <w:t xml:space="preserve"> a sekularizaci a rovněž </w:t>
      </w:r>
      <w:r w:rsidR="00C0137F" w:rsidRPr="008D2A72">
        <w:rPr>
          <w:b/>
        </w:rPr>
        <w:t>vysoká úroveň příjmů</w:t>
      </w:r>
      <w:r w:rsidR="00C0137F">
        <w:t>.</w:t>
      </w:r>
      <w:r w:rsidR="00C0137F">
        <w:rPr>
          <w:rStyle w:val="Znakapoznpodarou"/>
        </w:rPr>
        <w:footnoteReference w:id="1"/>
      </w:r>
      <w:r w:rsidR="00C0137F">
        <w:t xml:space="preserve"> Pokusme se zjistit, zda existuje vztah mezi výší příjmů obyvatel a návštěvností námi sledovaných památkových objektů, expozic a výstav v muzeích, galeriích a památnících v České republice, a </w:t>
      </w:r>
      <w:r w:rsidR="00B90030">
        <w:t>zda se z tohoto hlediska liš</w:t>
      </w:r>
      <w:r w:rsidR="00C0137F">
        <w:t>í jednotlivé kraje.</w:t>
      </w:r>
    </w:p>
    <w:p w:rsidR="008D2A72" w:rsidRDefault="00813F6C" w:rsidP="008D2A72">
      <w:pPr>
        <w:spacing w:line="240" w:lineRule="auto"/>
        <w:rPr>
          <w:i/>
        </w:rPr>
      </w:pPr>
      <w:r>
        <w:rPr>
          <w:i/>
        </w:rPr>
        <w:t>Příspěvek je výstupem</w:t>
      </w:r>
      <w:r w:rsidR="008D2A72">
        <w:rPr>
          <w:i/>
        </w:rPr>
        <w:t xml:space="preserve"> z výzkumného projektu NAKI DF 11P010VV24 „Efektivní metodiky podpory malých a středních subjektů kultury v prostředí národní a evropské ekonomiky“, řešeného týmem Fakulty podnikohospodářské Vysoké školy ekonomické v Praze p</w:t>
      </w:r>
      <w:r>
        <w:rPr>
          <w:i/>
        </w:rPr>
        <w:t>ro MK ČR. Autor</w:t>
      </w:r>
      <w:r w:rsidR="008D2A72">
        <w:rPr>
          <w:i/>
        </w:rPr>
        <w:t xml:space="preserve"> je v rámci projektu řešitelem logistické problematiky. Mapky a grafy použité v tomto příspěvku zpracoval ze Statistiky kultury 2011 NIPOS (není-li uveden jiný pramen) Ing. Jan Jílek. </w:t>
      </w:r>
    </w:p>
    <w:p w:rsidR="00D5009B" w:rsidRDefault="00B90030" w:rsidP="005272E3">
      <w:pPr>
        <w:spacing w:line="240" w:lineRule="auto"/>
      </w:pPr>
      <w:r>
        <w:t xml:space="preserve">Vzpomenuté Švédsko má, vedle poměrně úzké vrstvy velmi bohatých lidí, značně početnou </w:t>
      </w:r>
      <w:r w:rsidRPr="00582C91">
        <w:rPr>
          <w:b/>
        </w:rPr>
        <w:t>střední třídu</w:t>
      </w:r>
      <w:r>
        <w:t>. Ke střední třídě se v</w:t>
      </w:r>
      <w:r w:rsidR="00813F6C">
        <w:t xml:space="preserve"> celé </w:t>
      </w:r>
      <w:r>
        <w:t xml:space="preserve">Evropě hlásí 60 % pracujících. Jsou to ti, k jejichž vlastnostem patří chytrost, tvořivost, podnikavost, vzdělanost, úcta ke vzdělání a k postavení, ochota investovat do budoucnosti, inklinace ke stabilitě a vyhýbání se riziku, </w:t>
      </w:r>
      <w:r w:rsidRPr="00B90030">
        <w:rPr>
          <w:b/>
        </w:rPr>
        <w:t>jistá míra kulturnosti</w:t>
      </w:r>
      <w:r>
        <w:t xml:space="preserve"> a starosti o věci veřejné. </w:t>
      </w:r>
    </w:p>
    <w:p w:rsidR="008E2629" w:rsidRDefault="001A66B9" w:rsidP="005272E3">
      <w:pPr>
        <w:spacing w:line="240" w:lineRule="auto"/>
      </w:pPr>
      <w:r>
        <w:t>Vývojovým p</w:t>
      </w:r>
      <w:r w:rsidR="00B90030">
        <w:t>roblémem všech hosp</w:t>
      </w:r>
      <w:r w:rsidR="003F7F94">
        <w:t>od</w:t>
      </w:r>
      <w:r w:rsidR="00813F6C">
        <w:t>ářsky vyspělých zemí</w:t>
      </w:r>
      <w:r w:rsidR="003F7F94">
        <w:t xml:space="preserve"> je </w:t>
      </w:r>
      <w:r w:rsidR="003F7F94" w:rsidRPr="00813F6C">
        <w:rPr>
          <w:b/>
        </w:rPr>
        <w:t>polarizace společnosti</w:t>
      </w:r>
      <w:r w:rsidR="003F7F94">
        <w:t xml:space="preserve">, v jejímž důsledku se elita, mobilní menšina, „hráči globalizace“, odděluje od místem omezené, bezmocně přihlížející, sociálně deprimované a </w:t>
      </w:r>
      <w:r w:rsidR="008E2629">
        <w:t>degradované většiny; obě sociální skupiny se oddělují i prostorově a</w:t>
      </w:r>
      <w:r w:rsidR="003F7F94">
        <w:t xml:space="preserve"> hroutí </w:t>
      </w:r>
      <w:r w:rsidR="008E2629">
        <w:t xml:space="preserve">se mezi nimi </w:t>
      </w:r>
      <w:r w:rsidR="003F7F94">
        <w:t>komunikace.</w:t>
      </w:r>
      <w:r w:rsidR="003F7F94">
        <w:rPr>
          <w:rStyle w:val="Znakapoznpodarou"/>
        </w:rPr>
        <w:footnoteReference w:id="2"/>
      </w:r>
      <w:r w:rsidR="003F7F94">
        <w:t xml:space="preserve"> Štěp</w:t>
      </w:r>
      <w:r>
        <w:t xml:space="preserve">í a rozpadá se i střední třída: </w:t>
      </w:r>
      <w:r w:rsidR="003F7F94">
        <w:t xml:space="preserve">stoupá </w:t>
      </w:r>
      <w:r w:rsidR="008E2629">
        <w:t xml:space="preserve">životní úroveň </w:t>
      </w:r>
      <w:r w:rsidR="003F7F94">
        <w:t>její menší čás</w:t>
      </w:r>
      <w:r w:rsidR="008E2629">
        <w:t>ti, těch</w:t>
      </w:r>
      <w:r>
        <w:t>, kteří se</w:t>
      </w:r>
      <w:r w:rsidR="001830B4">
        <w:t xml:space="preserve"> </w:t>
      </w:r>
      <w:r w:rsidR="003F7F94">
        <w:t>živí</w:t>
      </w:r>
      <w:r>
        <w:t xml:space="preserve"> vlastní inteligencí</w:t>
      </w:r>
      <w:r w:rsidR="00813F6C">
        <w:t>,</w:t>
      </w:r>
      <w:r w:rsidR="008E2629">
        <w:t xml:space="preserve"> tvořivost</w:t>
      </w:r>
      <w:r>
        <w:t>í a pílí</w:t>
      </w:r>
      <w:r w:rsidR="00813F6C">
        <w:t xml:space="preserve"> </w:t>
      </w:r>
      <w:r w:rsidR="001830B4">
        <w:t>(</w:t>
      </w:r>
      <w:r w:rsidR="00511A41">
        <w:t>kreativních elit</w:t>
      </w:r>
      <w:r w:rsidR="00346EFB">
        <w:t xml:space="preserve">: </w:t>
      </w:r>
      <w:r w:rsidR="00511A41">
        <w:t>manažerů, výzkumných pracovníků</w:t>
      </w:r>
      <w:r w:rsidR="001830B4">
        <w:t xml:space="preserve"> v perspektivních oborech, </w:t>
      </w:r>
      <w:r w:rsidR="00813F6C">
        <w:t xml:space="preserve">špičkových lékařů a advokátů, </w:t>
      </w:r>
      <w:r w:rsidR="001830B4">
        <w:t>reklamní</w:t>
      </w:r>
      <w:r w:rsidR="00511A41">
        <w:t>ch odborníků, designérů, daňových poradců</w:t>
      </w:r>
      <w:r w:rsidR="001830B4">
        <w:t xml:space="preserve">, </w:t>
      </w:r>
      <w:r w:rsidR="00511A41">
        <w:t>úspěšných</w:t>
      </w:r>
      <w:r w:rsidR="001830B4">
        <w:t xml:space="preserve"> </w:t>
      </w:r>
      <w:r w:rsidR="00511A41">
        <w:t>architektů</w:t>
      </w:r>
      <w:r w:rsidR="001830B4">
        <w:t>, mode</w:t>
      </w:r>
      <w:r w:rsidR="00511A41">
        <w:t>rátorů a žurnalistů</w:t>
      </w:r>
      <w:r w:rsidR="001830B4">
        <w:t xml:space="preserve">, </w:t>
      </w:r>
      <w:r w:rsidR="00511A41">
        <w:t>úspěšných režisérů a spisovatelů</w:t>
      </w:r>
      <w:r w:rsidR="001830B4">
        <w:t>, profesionální</w:t>
      </w:r>
      <w:r w:rsidR="00511A41">
        <w:t>ch</w:t>
      </w:r>
      <w:r w:rsidR="001830B4">
        <w:t xml:space="preserve"> spo</w:t>
      </w:r>
      <w:r w:rsidR="00511A41">
        <w:t>rtovců</w:t>
      </w:r>
      <w:r w:rsidR="001830B4">
        <w:t xml:space="preserve"> a</w:t>
      </w:r>
      <w:r w:rsidR="00511A41">
        <w:t xml:space="preserve"> či popových hvězd</w:t>
      </w:r>
      <w:r w:rsidR="001830B4">
        <w:t xml:space="preserve">); větší část střední třídy se živí službami poskytovanými této menší části a její životní úroveň se </w:t>
      </w:r>
      <w:r w:rsidR="00511A41">
        <w:t xml:space="preserve">pozvolna </w:t>
      </w:r>
      <w:r w:rsidR="001830B4">
        <w:t xml:space="preserve">propadá. Přitom střední třída je nejvýznamnějším daňovým zdrojem pro státní pokladnu a její oslabení v důsledku polarizace </w:t>
      </w:r>
      <w:r w:rsidR="00582C91">
        <w:t xml:space="preserve">společnosti bývá příčinou ekonomického útlumu a obráceně, silná a spokojená střední třída je považována za nejlepší předpoklad k ekonomickému růstu. </w:t>
      </w:r>
    </w:p>
    <w:p w:rsidR="006D29FA" w:rsidRDefault="00346EFB" w:rsidP="005272E3">
      <w:pPr>
        <w:spacing w:line="240" w:lineRule="auto"/>
      </w:pPr>
      <w:r>
        <w:t>U nás je</w:t>
      </w:r>
      <w:r w:rsidR="00D5009B">
        <w:t xml:space="preserve"> střední třída dosud slabá a</w:t>
      </w:r>
      <w:r>
        <w:t xml:space="preserve"> tři čtvrtiny těch, kteří se k ní sami hlásí</w:t>
      </w:r>
      <w:r w:rsidR="00D5009B">
        <w:t>, se počítají do jejích nižších pater</w:t>
      </w:r>
      <w:r>
        <w:t xml:space="preserve">. Kolem 30 % lidí se </w:t>
      </w:r>
      <w:r w:rsidR="00006C4C">
        <w:t xml:space="preserve">u nás </w:t>
      </w:r>
      <w:r>
        <w:t>považuje za chudé</w:t>
      </w:r>
      <w:r w:rsidR="00006C4C">
        <w:t>, což je</w:t>
      </w:r>
      <w:r w:rsidR="001A66B9">
        <w:t xml:space="preserve"> stejné</w:t>
      </w:r>
      <w:r>
        <w:t xml:space="preserve"> jako v ostatních </w:t>
      </w:r>
      <w:r>
        <w:lastRenderedPageBreak/>
        <w:t>vyspělých zemích.</w:t>
      </w:r>
      <w:r w:rsidR="008E2629">
        <w:t xml:space="preserve"> </w:t>
      </w:r>
      <w:r w:rsidR="001A66B9">
        <w:t>V žebříčku</w:t>
      </w:r>
      <w:r w:rsidR="00511A41">
        <w:t xml:space="preserve"> ohrožení rizikem chudoby </w:t>
      </w:r>
      <w:r w:rsidR="001A66B9">
        <w:t>a sociálního vyloučení jsme</w:t>
      </w:r>
      <w:r w:rsidR="00511A41">
        <w:t xml:space="preserve"> na tom </w:t>
      </w:r>
      <w:r w:rsidR="001A66B9">
        <w:t xml:space="preserve">sice v EU </w:t>
      </w:r>
      <w:r w:rsidR="00511A41">
        <w:t>nejlépe</w:t>
      </w:r>
      <w:r w:rsidR="00006C4C">
        <w:t xml:space="preserve"> (s 15 %), podílem</w:t>
      </w:r>
      <w:r w:rsidR="00511A41">
        <w:t xml:space="preserve"> pracující chudiny (těch, </w:t>
      </w:r>
      <w:r w:rsidR="00D5009B">
        <w:t>jimž příjem ze zaměstnání</w:t>
      </w:r>
      <w:r w:rsidR="00511A41">
        <w:t xml:space="preserve"> sotva stačí na zaplacení nájmu a jídla) již o jeden procentní bod překračujeme unijní průměr</w:t>
      </w:r>
      <w:r w:rsidR="00006C4C">
        <w:t xml:space="preserve"> (máme 18 %), avšak výrazně horší je u nás podíl obyvatel se základním vzděláním, kteří spadají do kategorie chudých pracujících (41 % proti evropskému průměru 29 %)</w:t>
      </w:r>
      <w:r w:rsidR="008F65CE">
        <w:rPr>
          <w:rStyle w:val="Znakapoznpodarou"/>
        </w:rPr>
        <w:footnoteReference w:id="3"/>
      </w:r>
      <w:r w:rsidR="00006C4C">
        <w:t xml:space="preserve">. </w:t>
      </w:r>
      <w:r w:rsidR="003242B7">
        <w:t>Nižší než průměrnou mzdu u nás pobírají zhruba dvě třetiny zaměstnanců a v některých krajích</w:t>
      </w:r>
      <w:r w:rsidR="001A66B9">
        <w:t xml:space="preserve"> téměř tři čtvrtiny zaměstnanců</w:t>
      </w:r>
      <w:r w:rsidR="00C37F17">
        <w:t>.</w:t>
      </w:r>
      <w:r w:rsidR="001A66B9">
        <w:t xml:space="preserve"> (</w:t>
      </w:r>
      <w:r w:rsidR="00C37F17">
        <w:t>N</w:t>
      </w:r>
      <w:r w:rsidR="003242B7">
        <w:t xml:space="preserve">aproti tomu mzda generálního ředitele </w:t>
      </w:r>
      <w:r w:rsidR="005272E3">
        <w:t xml:space="preserve">ve velké polostátní organizaci </w:t>
      </w:r>
      <w:r w:rsidR="003242B7">
        <w:t>je i 350 krát větší než průměrn</w:t>
      </w:r>
      <w:r w:rsidR="009B0613">
        <w:t>ý plat v jeho podniku – což řad</w:t>
      </w:r>
      <w:r w:rsidR="001A66B9">
        <w:t>oví zaměstnanci hodnotí slovy</w:t>
      </w:r>
      <w:r w:rsidR="005272E3">
        <w:t xml:space="preserve"> „většina usilovně pracuje proto, aby hrstka mohla závratně zbohatnout“. </w:t>
      </w:r>
      <w:r w:rsidR="003D37A5">
        <w:t>Značnou nevoli budí bohatnutí tzv. extraktivních „elit“</w:t>
      </w:r>
      <w:r w:rsidR="00D15882">
        <w:t>, a to</w:t>
      </w:r>
      <w:r w:rsidR="003D37A5">
        <w:t xml:space="preserve"> z podivné privatizace, zmanipulovaný</w:t>
      </w:r>
      <w:r w:rsidR="00C37F17">
        <w:t>ch státních zakázek či účelov</w:t>
      </w:r>
      <w:r w:rsidR="003D37A5">
        <w:t>ých děr v zákonech.</w:t>
      </w:r>
      <w:r w:rsidR="00C37F17">
        <w:t>)</w:t>
      </w:r>
      <w:r w:rsidR="003D37A5">
        <w:t xml:space="preserve"> </w:t>
      </w:r>
    </w:p>
    <w:p w:rsidR="008D2A72" w:rsidRDefault="002E28CE" w:rsidP="005272E3">
      <w:pPr>
        <w:spacing w:line="240" w:lineRule="auto"/>
      </w:pPr>
      <w:r>
        <w:t>Nezaměstnanost</w:t>
      </w:r>
      <w:r>
        <w:rPr>
          <w:rStyle w:val="Znakapoznpodarou"/>
        </w:rPr>
        <w:footnoteReference w:id="4"/>
      </w:r>
      <w:r w:rsidR="006D29FA">
        <w:t xml:space="preserve"> dosahuje</w:t>
      </w:r>
      <w:r>
        <w:t xml:space="preserve"> u ná</w:t>
      </w:r>
      <w:r w:rsidR="00D5009B">
        <w:t>s 7,3 % (průměr EU 27 je 10,9 %; pro srovnání</w:t>
      </w:r>
      <w:r>
        <w:t xml:space="preserve">: </w:t>
      </w:r>
      <w:r w:rsidR="006D29FA">
        <w:t xml:space="preserve">ve Švédsku </w:t>
      </w:r>
      <w:r>
        <w:t>je 8,4 %, v Dánsku 7,2 % a ve Finsku 8,2 %), avšak dlouhodobě narůstá (před pěti lety</w:t>
      </w:r>
      <w:r w:rsidR="008F65CE">
        <w:rPr>
          <w:rStyle w:val="Znakapoznpodarou"/>
        </w:rPr>
        <w:footnoteReference w:id="5"/>
      </w:r>
      <w:r>
        <w:t xml:space="preserve"> u nás byla jen 4,3 %); nezaměstnanost mladých pod 25 let je 19,5 % (EU 27 má </w:t>
      </w:r>
      <w:r w:rsidR="008F65CE">
        <w:t>23,5 %)</w:t>
      </w:r>
      <w:r w:rsidR="008F65CE">
        <w:rPr>
          <w:rStyle w:val="Znakapoznpodarou"/>
        </w:rPr>
        <w:footnoteReference w:id="6"/>
      </w:r>
      <w:r>
        <w:t>.</w:t>
      </w:r>
      <w:r w:rsidR="008F65CE">
        <w:t xml:space="preserve"> </w:t>
      </w:r>
    </w:p>
    <w:p w:rsidR="005272E3" w:rsidRDefault="005272E3" w:rsidP="005272E3">
      <w:pPr>
        <w:spacing w:line="240" w:lineRule="auto"/>
      </w:pPr>
      <w:r>
        <w:t xml:space="preserve">Před vypuknutím hospodářské recese měla Česká republika nakročeno k pozvolnému vyrovnávání mezd s bohatšími </w:t>
      </w:r>
      <w:r w:rsidR="00E0560B">
        <w:t>evropskými zeměmi</w:t>
      </w:r>
      <w:r>
        <w:t>, nicméně i nejoptimističtější odhady kladly mzdové vyrovnání například s Němci na horizo</w:t>
      </w:r>
      <w:r w:rsidR="009B0613">
        <w:t>nt třiceti let. Aktuální vývoj</w:t>
      </w:r>
      <w:r>
        <w:t xml:space="preserve"> je </w:t>
      </w:r>
      <w:r w:rsidR="009B0613">
        <w:t>však takový</w:t>
      </w:r>
      <w:r>
        <w:t xml:space="preserve">, že </w:t>
      </w:r>
      <w:r w:rsidR="00972B8F" w:rsidRPr="00D36768">
        <w:rPr>
          <w:b/>
        </w:rPr>
        <w:t>životní úroveň u nás přestala růst</w:t>
      </w:r>
      <w:r w:rsidR="00972B8F">
        <w:t xml:space="preserve"> </w:t>
      </w:r>
      <w:r w:rsidR="00972B8F" w:rsidRPr="00D36768">
        <w:rPr>
          <w:b/>
        </w:rPr>
        <w:t>a bohatší země se nám opět vzdalují</w:t>
      </w:r>
      <w:r w:rsidR="00972B8F">
        <w:t>: vyjádřeno prostřednictvím HDP na obyvatele, vezmeme-li EU 27 jako 100 %, potom dosahuje například Rakousko 131 %, Německo 121 %</w:t>
      </w:r>
      <w:r w:rsidR="00763332">
        <w:t>,</w:t>
      </w:r>
      <w:r w:rsidR="00972B8F">
        <w:t xml:space="preserve"> a</w:t>
      </w:r>
      <w:r w:rsidR="00763332">
        <w:t>však</w:t>
      </w:r>
      <w:r w:rsidR="00972B8F">
        <w:t xml:space="preserve"> ČR jen 79 % (v letech 2007 a 2009 to bylo 83 % - vrátili jsme se na úroveň roku 2005, </w:t>
      </w:r>
      <w:r w:rsidR="00763332">
        <w:t>kdy Německo</w:t>
      </w:r>
      <w:r w:rsidR="00E0560B">
        <w:t xml:space="preserve"> bylo na</w:t>
      </w:r>
      <w:r w:rsidR="00972B8F">
        <w:t xml:space="preserve"> 116 %</w:t>
      </w:r>
      <w:r w:rsidR="00E0560B">
        <w:t xml:space="preserve"> průměru EU</w:t>
      </w:r>
      <w:r w:rsidR="00972B8F">
        <w:t>).</w:t>
      </w:r>
      <w:r w:rsidR="00E0560B">
        <w:t xml:space="preserve"> V loňském roce jsme tak s životní úrovní skončili na 17. místě v rámci EU 27, resp. na 20. místě mezi </w:t>
      </w:r>
      <w:r w:rsidR="00763332">
        <w:t xml:space="preserve">všemi </w:t>
      </w:r>
      <w:r w:rsidR="00E0560B">
        <w:t>31 evropskými zeměmi.</w:t>
      </w:r>
      <w:r w:rsidR="00972B8F">
        <w:rPr>
          <w:rStyle w:val="Znakapoznpodarou"/>
        </w:rPr>
        <w:footnoteReference w:id="7"/>
      </w:r>
      <w:r w:rsidR="00E0560B">
        <w:t xml:space="preserve"> Příčina zdaleka nespočívá jen v exportní závislosti naší malé a otevřené ekonomiky </w:t>
      </w:r>
      <w:r w:rsidR="009B0613">
        <w:t xml:space="preserve">a v hospodářském poklesu v EU po roce 2008 </w:t>
      </w:r>
      <w:r w:rsidR="00E0560B">
        <w:t>(</w:t>
      </w:r>
      <w:r w:rsidR="009B0613">
        <w:t xml:space="preserve">kam směřuje </w:t>
      </w:r>
      <w:r w:rsidR="00E0560B">
        <w:t xml:space="preserve">kolem 85 % </w:t>
      </w:r>
      <w:r w:rsidR="009B0613">
        <w:t>našeho vývozu</w:t>
      </w:r>
      <w:r w:rsidR="00E0560B">
        <w:t>)</w:t>
      </w:r>
      <w:r w:rsidR="00D36768">
        <w:t>.  N</w:t>
      </w:r>
      <w:r w:rsidR="00E0560B">
        <w:t>a vině je chybná  hospodářská politika vlád</w:t>
      </w:r>
      <w:r w:rsidR="00763332">
        <w:t xml:space="preserve">y, která vedla k růstu cen a k prudkému propadu domácí spotřeby, poklesu reálných mezd </w:t>
      </w:r>
      <w:r w:rsidR="00C37F17">
        <w:t>(zatímco nominální mzdy se zvyšují, kvůli rostoucím cenám si za</w:t>
      </w:r>
      <w:r w:rsidR="00C53A66">
        <w:t xml:space="preserve"> ně koupíme o sto korun </w:t>
      </w:r>
      <w:r w:rsidR="00C37F17">
        <w:t>méně</w:t>
      </w:r>
      <w:r w:rsidR="00C53A66">
        <w:t xml:space="preserve"> než v loňském roce</w:t>
      </w:r>
      <w:r w:rsidR="00C37F17">
        <w:t xml:space="preserve">) </w:t>
      </w:r>
      <w:r w:rsidR="00763332">
        <w:t xml:space="preserve">a zvýšení nezaměstnanosti; způsobila, že hospodářská recese byla u nás hlubší a delší než v celé EU. Negativní dopad pocítily především chudší vrstvy obyvatel. </w:t>
      </w:r>
      <w:r w:rsidR="00C37F17">
        <w:t xml:space="preserve">Zde jsou tedy kořeny úpadku poznávací turistiky a návštěvnosti kulturních objektů. </w:t>
      </w:r>
      <w:r w:rsidR="00D36768">
        <w:t>Obrat k lepšímu b</w:t>
      </w:r>
      <w:r w:rsidR="0066073C">
        <w:t>y snad mohl nastat po několika letech</w:t>
      </w:r>
      <w:r w:rsidR="003D37A5">
        <w:t xml:space="preserve"> v závislosti na oživování evropské i domácí ekonomiky.</w:t>
      </w:r>
      <w:r w:rsidR="00C37F17">
        <w:t xml:space="preserve"> </w:t>
      </w:r>
    </w:p>
    <w:p w:rsidR="003D37A5" w:rsidRDefault="003D37A5" w:rsidP="005272E3">
      <w:pPr>
        <w:spacing w:line="240" w:lineRule="auto"/>
      </w:pPr>
    </w:p>
    <w:p w:rsidR="00D36768" w:rsidRDefault="007C6169" w:rsidP="005272E3">
      <w:pPr>
        <w:spacing w:line="240" w:lineRule="auto"/>
      </w:pPr>
      <w:r>
        <w:t xml:space="preserve">Jak se tyto celkové trendy projevují </w:t>
      </w:r>
      <w:r w:rsidRPr="007C6169">
        <w:rPr>
          <w:b/>
        </w:rPr>
        <w:t>v krajích</w:t>
      </w:r>
      <w:r>
        <w:t>?</w:t>
      </w:r>
    </w:p>
    <w:p w:rsidR="00D36768" w:rsidRDefault="003D37A5" w:rsidP="005272E3">
      <w:pPr>
        <w:spacing w:line="240" w:lineRule="auto"/>
      </w:pPr>
      <w:r w:rsidRPr="006D29FA">
        <w:rPr>
          <w:b/>
        </w:rPr>
        <w:t xml:space="preserve">S životní úrovní bohatších evropských zemí se </w:t>
      </w:r>
      <w:r w:rsidR="00217414" w:rsidRPr="006D29FA">
        <w:rPr>
          <w:b/>
        </w:rPr>
        <w:t>v minulých letech vyrovnávala pouze Praha</w:t>
      </w:r>
      <w:r w:rsidR="00217414">
        <w:t xml:space="preserve">: životní úroveň (měřená paritou kupní síly) v ní dosahovala v roce 2010 172 % evropského průměru, čímž se </w:t>
      </w:r>
      <w:r w:rsidR="00A46D18">
        <w:t>formálně z</w:t>
      </w:r>
      <w:r w:rsidR="00217414">
        <w:t xml:space="preserve">ařadila mezi nejbohatší regiony EU. Příjmy na obyvatele (zahrnující mzdy, příjmy z podnikání a majetku a přerozdělování ve formě různých dávek) vzrostly v Praze od roku 1995 do roku 2011 o 154 %, zatímco v celé republice </w:t>
      </w:r>
      <w:r w:rsidR="00A46D18">
        <w:t xml:space="preserve">vzrostly </w:t>
      </w:r>
      <w:r w:rsidR="00217414">
        <w:t>pouze o 127 %.</w:t>
      </w:r>
      <w:r w:rsidR="001D3EBC">
        <w:t xml:space="preserve"> Příznivý trend vývoje životní úrovně vykazovaly ještě Jihomoravský a Středočeský kraj. Naopak úpadek v uvedeném období nastal především v Karlovarském </w:t>
      </w:r>
      <w:r w:rsidR="001D3EBC">
        <w:lastRenderedPageBreak/>
        <w:t>kraji, jenž se z pozice druhého nejbohatšího kraje propadl na poslední místo, a v Libereckém kraji; tyto kraje doplatily na zánik či kritické oslabení textilního a oděvního p</w:t>
      </w:r>
      <w:r w:rsidR="00A46D18">
        <w:t>růmyslu, skláren a porcelánek. Faktické p</w:t>
      </w:r>
      <w:r w:rsidR="001D3EBC">
        <w:t>ostavení Prahy bylo ovšem n</w:t>
      </w:r>
      <w:r w:rsidR="006D29FA">
        <w:t>adlepšováno skutečností, že je</w:t>
      </w:r>
      <w:r w:rsidR="001D3EBC">
        <w:t xml:space="preserve"> sídlem dceřiných firem řady nadnárodních společností i největšíc</w:t>
      </w:r>
      <w:r w:rsidR="00AF6C7E">
        <w:t>h českých podniků, fyzicky působících ve větším počtu krajů, avšak v Praze účetně vykazujících zisk.</w:t>
      </w:r>
      <w:r w:rsidR="00217414">
        <w:rPr>
          <w:rStyle w:val="Znakapoznpodarou"/>
        </w:rPr>
        <w:footnoteReference w:id="8"/>
      </w:r>
    </w:p>
    <w:p w:rsidR="007564F2" w:rsidRDefault="00AF6C7E" w:rsidP="005272E3">
      <w:pPr>
        <w:spacing w:line="240" w:lineRule="auto"/>
      </w:pPr>
      <w:r w:rsidRPr="006D29FA">
        <w:rPr>
          <w:b/>
        </w:rPr>
        <w:t xml:space="preserve">Vývoj </w:t>
      </w:r>
      <w:r w:rsidR="00A46D18" w:rsidRPr="006D29FA">
        <w:rPr>
          <w:b/>
        </w:rPr>
        <w:t xml:space="preserve">se </w:t>
      </w:r>
      <w:r w:rsidRPr="006D29FA">
        <w:rPr>
          <w:b/>
        </w:rPr>
        <w:t>v poslední době změnil k horšímu</w:t>
      </w:r>
      <w:r>
        <w:t>: v letech 2010 a 2011 došlo</w:t>
      </w:r>
      <w:r w:rsidR="007564F2">
        <w:t xml:space="preserve"> všude</w:t>
      </w:r>
      <w:r>
        <w:t xml:space="preserve"> k poklesu příjmů a nás</w:t>
      </w:r>
      <w:r w:rsidR="007564F2">
        <w:t>kok Prahy se snížil; příčinou byl</w:t>
      </w:r>
      <w:r w:rsidR="00A46D18">
        <w:t xml:space="preserve"> ochab</w:t>
      </w:r>
      <w:r>
        <w:t>lý trh služeb, jenž má pro Prahu zásadní význam, a dále úspory a redukce počtu zaměstnanců ve státních organizacích</w:t>
      </w:r>
      <w:r w:rsidR="007564F2">
        <w:t>. Vzrostla hrozba chudoby a sociálního vyloučení, nejvíce v Moravskoslezském kraji (týká se 22 % jeho obyvatel), nejméně v Praze (9,1 %) a ve Středočeském kraji (9,6 %).</w:t>
      </w:r>
    </w:p>
    <w:p w:rsidR="00FF5490" w:rsidRDefault="00FF5490" w:rsidP="005272E3">
      <w:pPr>
        <w:spacing w:line="240" w:lineRule="auto"/>
      </w:pPr>
    </w:p>
    <w:p w:rsidR="007564F2" w:rsidRDefault="00D117F1" w:rsidP="005272E3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5760720" cy="22815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 8 Příjem obyvatel (v tis. Kč)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9B" w:rsidRDefault="00D117F1">
      <w:r>
        <w:t>Obr. 1 Příjem obyvatel (v tis. Kč)</w:t>
      </w:r>
      <w:r w:rsidR="00C53A66">
        <w:rPr>
          <w:rStyle w:val="Znakapoznpodarou"/>
        </w:rPr>
        <w:footnoteReference w:id="9"/>
      </w:r>
    </w:p>
    <w:p w:rsidR="00FF5490" w:rsidRDefault="00FF5490"/>
    <w:p w:rsidR="00320360" w:rsidRDefault="00FF5490">
      <w:r>
        <w:rPr>
          <w:noProof/>
          <w:lang w:eastAsia="cs-CZ"/>
        </w:rPr>
        <w:drawing>
          <wp:inline distT="0" distB="0" distL="0" distR="0">
            <wp:extent cx="5760720" cy="228155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 13 Míra nezaměstnanosti podle krajů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490" w:rsidRDefault="00FF5490">
      <w:r>
        <w:t>Obr. 2 Míra nezaměstnanosti</w:t>
      </w:r>
      <w:r w:rsidR="00C53A66">
        <w:rPr>
          <w:rStyle w:val="Znakapoznpodarou"/>
        </w:rPr>
        <w:footnoteReference w:id="10"/>
      </w:r>
    </w:p>
    <w:p w:rsidR="00D117F1" w:rsidRDefault="00320360">
      <w:r>
        <w:rPr>
          <w:noProof/>
          <w:lang w:eastAsia="cs-CZ"/>
        </w:rPr>
        <w:lastRenderedPageBreak/>
        <w:drawing>
          <wp:inline distT="0" distB="0" distL="0" distR="0">
            <wp:extent cx="5760720" cy="3601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7F1" w:rsidRDefault="00FF5490">
      <w:r>
        <w:t>Obr. 3 Vývoj životní úrovně (parita kupní síly)</w:t>
      </w:r>
      <w:r>
        <w:rPr>
          <w:rStyle w:val="Znakapoznpodarou"/>
        </w:rPr>
        <w:footnoteReference w:id="11"/>
      </w:r>
    </w:p>
    <w:p w:rsidR="00717429" w:rsidRDefault="00717429"/>
    <w:p w:rsidR="00717429" w:rsidRDefault="00717429" w:rsidP="0071742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Dříve, než provedeme analýzu vztahu počtu návštěvníků památkových objektů k průměrnému příjmu obyvatel v jednotlivých krajích, připomeňme si rozdíly v návštěvnosti:</w:t>
      </w:r>
    </w:p>
    <w:p w:rsidR="00717429" w:rsidRDefault="00717429" w:rsidP="00717429">
      <w:pPr>
        <w:spacing w:line="240" w:lineRule="auto"/>
        <w:rPr>
          <w:noProof/>
          <w:lang w:eastAsia="cs-CZ"/>
        </w:rPr>
      </w:pPr>
    </w:p>
    <w:p w:rsidR="00717429" w:rsidRDefault="00717429" w:rsidP="00717429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2625" cy="22860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29" w:rsidRDefault="00717429" w:rsidP="00717429">
      <w:r>
        <w:t>Obr. 4 Počet návštěvníků památkových objektů celkem</w:t>
      </w:r>
    </w:p>
    <w:p w:rsidR="008F65CE" w:rsidRDefault="008F65CE"/>
    <w:p w:rsidR="003E76EE" w:rsidRDefault="00186724" w:rsidP="002D17A7">
      <w:r>
        <w:rPr>
          <w:noProof/>
          <w:lang w:eastAsia="cs-CZ"/>
        </w:rPr>
        <w:lastRenderedPageBreak/>
        <w:drawing>
          <wp:inline distT="0" distB="0" distL="0" distR="0" wp14:anchorId="728E0C55" wp14:editId="4E7C0646">
            <wp:extent cx="5760720" cy="4451298"/>
            <wp:effectExtent l="0" t="0" r="0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6EE">
        <w:rPr>
          <w:noProof/>
          <w:lang w:eastAsia="cs-CZ"/>
        </w:rPr>
        <w:t>Již při letmém pohledu na graf</w:t>
      </w:r>
      <w:r w:rsidR="00D7660A">
        <w:rPr>
          <w:noProof/>
          <w:lang w:eastAsia="cs-CZ"/>
        </w:rPr>
        <w:t xml:space="preserve"> nelze přehlédnout </w:t>
      </w:r>
      <w:r w:rsidR="00F068A1" w:rsidRPr="00D7660A">
        <w:rPr>
          <w:b/>
          <w:noProof/>
          <w:lang w:eastAsia="cs-CZ"/>
        </w:rPr>
        <w:t>velký náskok Prahy</w:t>
      </w:r>
      <w:r w:rsidR="003E76EE">
        <w:rPr>
          <w:noProof/>
          <w:lang w:eastAsia="cs-CZ"/>
        </w:rPr>
        <w:t>:</w:t>
      </w:r>
    </w:p>
    <w:p w:rsidR="00C53A66" w:rsidRDefault="00F068A1" w:rsidP="003E76EE">
      <w:pPr>
        <w:pStyle w:val="Odstavecseseznamem"/>
        <w:numPr>
          <w:ilvl w:val="0"/>
          <w:numId w:val="6"/>
        </w:num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v průměrném (nominálním) příjmu jejích obyvatel</w:t>
      </w:r>
      <w:r w:rsidR="006B0767">
        <w:rPr>
          <w:rStyle w:val="Znakapoznpodarou"/>
          <w:noProof/>
          <w:lang w:eastAsia="cs-CZ"/>
        </w:rPr>
        <w:footnoteReference w:id="12"/>
      </w:r>
      <w:r w:rsidR="006B0767">
        <w:rPr>
          <w:noProof/>
          <w:lang w:eastAsia="cs-CZ"/>
        </w:rPr>
        <w:t xml:space="preserve"> proti Středočeskému kraji</w:t>
      </w:r>
      <w:r w:rsidR="00C3575A">
        <w:rPr>
          <w:noProof/>
          <w:lang w:eastAsia="cs-CZ"/>
        </w:rPr>
        <w:t xml:space="preserve"> je to</w:t>
      </w:r>
      <w:r w:rsidR="006B0767">
        <w:rPr>
          <w:noProof/>
          <w:lang w:eastAsia="cs-CZ"/>
        </w:rPr>
        <w:t xml:space="preserve"> o 24 %, proti Jihomoravskému kraji o 26 %</w:t>
      </w:r>
      <w:r w:rsidR="00C3575A">
        <w:rPr>
          <w:noProof/>
          <w:lang w:eastAsia="cs-CZ"/>
        </w:rPr>
        <w:t>, prot</w:t>
      </w:r>
      <w:r w:rsidR="003E76EE">
        <w:rPr>
          <w:noProof/>
          <w:lang w:eastAsia="cs-CZ"/>
        </w:rPr>
        <w:t xml:space="preserve">i Moravskoslezskému kraji o 28%; </w:t>
      </w:r>
      <w:r w:rsidR="006B0767">
        <w:rPr>
          <w:noProof/>
          <w:lang w:eastAsia="cs-CZ"/>
        </w:rPr>
        <w:t xml:space="preserve">rozdíl mezi Prahou a nejchudším Karlovarským krajem </w:t>
      </w:r>
      <w:r w:rsidR="00C3575A">
        <w:rPr>
          <w:noProof/>
          <w:lang w:eastAsia="cs-CZ"/>
        </w:rPr>
        <w:t>je</w:t>
      </w:r>
      <w:r w:rsidR="003E76EE">
        <w:rPr>
          <w:noProof/>
          <w:lang w:eastAsia="cs-CZ"/>
        </w:rPr>
        <w:t xml:space="preserve"> 35 %;</w:t>
      </w:r>
    </w:p>
    <w:p w:rsidR="00717429" w:rsidRDefault="003E76EE" w:rsidP="00D7660A">
      <w:pPr>
        <w:pStyle w:val="Odstavecseseznamem"/>
        <w:numPr>
          <w:ilvl w:val="0"/>
          <w:numId w:val="6"/>
        </w:num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v </w:t>
      </w:r>
      <w:r w:rsidR="006B0767">
        <w:rPr>
          <w:noProof/>
          <w:lang w:eastAsia="cs-CZ"/>
        </w:rPr>
        <w:t>počtu návštěvníků památkových objekt</w:t>
      </w:r>
      <w:r w:rsidR="00C3575A">
        <w:rPr>
          <w:noProof/>
          <w:lang w:eastAsia="cs-CZ"/>
        </w:rPr>
        <w:t>ů je odstup</w:t>
      </w:r>
      <w:r w:rsidR="006B0767">
        <w:rPr>
          <w:noProof/>
          <w:lang w:eastAsia="cs-CZ"/>
        </w:rPr>
        <w:t xml:space="preserve"> </w:t>
      </w:r>
      <w:r w:rsidR="00C3575A">
        <w:rPr>
          <w:noProof/>
          <w:lang w:eastAsia="cs-CZ"/>
        </w:rPr>
        <w:t xml:space="preserve">Prahy od ostatních krajů ještě více signifikantní: vůči Středočeskému kraji o 48 %, Jihočeskému kraji o 67 %, Jihomoravskému kraji o </w:t>
      </w:r>
      <w:r w:rsidR="00937E05">
        <w:rPr>
          <w:noProof/>
          <w:lang w:eastAsia="cs-CZ"/>
        </w:rPr>
        <w:t>72 %; vůči Moravskoslezskému kraji, jenž stojí na předposledním místě a vůči poslednímu Karlovar</w:t>
      </w:r>
      <w:r w:rsidR="00D7660A">
        <w:rPr>
          <w:noProof/>
          <w:lang w:eastAsia="cs-CZ"/>
        </w:rPr>
        <w:t>skému kraji je to zhruba o 97 %.</w:t>
      </w:r>
    </w:p>
    <w:p w:rsidR="00621EAD" w:rsidRDefault="00D7660A" w:rsidP="00D7660A">
      <w:pPr>
        <w:spacing w:line="240" w:lineRule="auto"/>
      </w:pPr>
      <w:r>
        <w:rPr>
          <w:noProof/>
          <w:lang w:eastAsia="cs-CZ"/>
        </w:rPr>
        <w:t xml:space="preserve">Analýza vztahu počtu </w:t>
      </w:r>
      <w:r>
        <w:rPr>
          <w:b/>
          <w:noProof/>
          <w:lang w:eastAsia="cs-CZ"/>
        </w:rPr>
        <w:t>návštěvníků památkových objektů</w:t>
      </w:r>
      <w:r>
        <w:rPr>
          <w:noProof/>
          <w:lang w:eastAsia="cs-CZ"/>
        </w:rPr>
        <w:t xml:space="preserve"> k průměrnému příjmu obyvatel v</w:t>
      </w:r>
      <w:r w:rsidR="006D29FA">
        <w:rPr>
          <w:noProof/>
          <w:lang w:eastAsia="cs-CZ"/>
        </w:rPr>
        <w:t> jednotlivých krajích</w:t>
      </w:r>
      <w:r w:rsidR="006C5FBD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ukazuje </w:t>
      </w:r>
      <w:r w:rsidR="007C3E41" w:rsidRPr="00717429">
        <w:rPr>
          <w:b/>
          <w:noProof/>
          <w:lang w:eastAsia="cs-CZ"/>
        </w:rPr>
        <w:t>značnou diferenciaci v návštěvnosti</w:t>
      </w:r>
      <w:r w:rsidR="004878C2">
        <w:rPr>
          <w:rStyle w:val="Znakapoznpodarou"/>
          <w:b/>
          <w:noProof/>
          <w:lang w:eastAsia="cs-CZ"/>
        </w:rPr>
        <w:footnoteReference w:id="13"/>
      </w:r>
      <w:r w:rsidR="007C3E41" w:rsidRPr="00717429">
        <w:rPr>
          <w:b/>
          <w:noProof/>
          <w:lang w:eastAsia="cs-CZ"/>
        </w:rPr>
        <w:t xml:space="preserve"> mezi kraji se srovnatelným příjmem obyvatel</w:t>
      </w:r>
      <w:r w:rsidR="004878C2">
        <w:rPr>
          <w:b/>
          <w:noProof/>
          <w:lang w:eastAsia="cs-CZ"/>
        </w:rPr>
        <w:t>.</w:t>
      </w:r>
      <w:r w:rsidR="007C3E41">
        <w:t xml:space="preserve"> </w:t>
      </w:r>
    </w:p>
    <w:p w:rsidR="00621EAD" w:rsidRDefault="004878C2" w:rsidP="00D7660A">
      <w:pPr>
        <w:spacing w:line="240" w:lineRule="auto"/>
      </w:pPr>
      <w:r>
        <w:t>Ponech</w:t>
      </w:r>
      <w:r w:rsidR="00B5633B">
        <w:t xml:space="preserve">me </w:t>
      </w:r>
      <w:r w:rsidR="00CA7DAC">
        <w:t>stranou Středočeský kraj</w:t>
      </w:r>
      <w:r w:rsidR="00B5633B">
        <w:t>, jehož průměrný příjem obyvatel se blíží 26 tisícům korun a</w:t>
      </w:r>
      <w:r w:rsidR="00CA7DAC">
        <w:t xml:space="preserve"> </w:t>
      </w:r>
      <w:r>
        <w:t xml:space="preserve">rovněž </w:t>
      </w:r>
      <w:r w:rsidR="00B5633B">
        <w:t>návštěvnost vybočuje</w:t>
      </w:r>
      <w:r w:rsidR="004B1E4A">
        <w:t xml:space="preserve"> ze shluku ostatních krajů</w:t>
      </w:r>
      <w:r w:rsidR="00B5633B">
        <w:t xml:space="preserve"> (jeho náskok </w:t>
      </w:r>
      <w:r>
        <w:t xml:space="preserve">v ní </w:t>
      </w:r>
      <w:r w:rsidR="00B5633B">
        <w:t xml:space="preserve">vůči </w:t>
      </w:r>
      <w:r>
        <w:t xml:space="preserve">v pořadí nejbližšímu </w:t>
      </w:r>
      <w:r w:rsidR="00B5633B">
        <w:t>Jihočeskému kraji</w:t>
      </w:r>
      <w:r>
        <w:t xml:space="preserve"> činí</w:t>
      </w:r>
      <w:r w:rsidR="004B1E4A">
        <w:t xml:space="preserve"> </w:t>
      </w:r>
      <w:r w:rsidR="00B5633B">
        <w:t>36 %).</w:t>
      </w:r>
      <w:r w:rsidR="004B1E4A">
        <w:t xml:space="preserve"> </w:t>
      </w:r>
      <w:r>
        <w:t>Příjmy obyvatel v ostatních krajích oscilují buď kolem 24 tisíc korun, anebo kolem 23 tisíc korun</w:t>
      </w:r>
      <w:r w:rsidR="006C5FBD">
        <w:t xml:space="preserve"> (na nižší úrovni je pouze Karlovarský kraj)</w:t>
      </w:r>
      <w:r>
        <w:t xml:space="preserve">. </w:t>
      </w:r>
    </w:p>
    <w:p w:rsidR="00621EAD" w:rsidRDefault="004878C2" w:rsidP="00D7660A">
      <w:pPr>
        <w:spacing w:line="240" w:lineRule="auto"/>
      </w:pPr>
      <w:r>
        <w:t>Z</w:t>
      </w:r>
      <w:r w:rsidR="006C5FBD">
        <w:t> krajů</w:t>
      </w:r>
      <w:r w:rsidR="00CA7DAC">
        <w:t xml:space="preserve"> s </w:t>
      </w:r>
      <w:r w:rsidR="00730F2B">
        <w:t>příj</w:t>
      </w:r>
      <w:r w:rsidR="00CA7DAC">
        <w:t>m</w:t>
      </w:r>
      <w:r w:rsidR="00730F2B">
        <w:t>em</w:t>
      </w:r>
      <w:r>
        <w:t xml:space="preserve"> obyvatel</w:t>
      </w:r>
      <w:r w:rsidR="006C5FBD">
        <w:t xml:space="preserve"> kolem 24 tisíc korun</w:t>
      </w:r>
      <w:r w:rsidR="00CA7DAC">
        <w:t xml:space="preserve"> jsou </w:t>
      </w:r>
      <w:r w:rsidR="00730F2B">
        <w:t>nej</w:t>
      </w:r>
      <w:r w:rsidR="00CA7DAC">
        <w:t xml:space="preserve">agilnější </w:t>
      </w:r>
      <w:r w:rsidR="00090AE1">
        <w:t>návštěvníci</w:t>
      </w:r>
      <w:r w:rsidR="00730F2B">
        <w:t xml:space="preserve"> v Jihomoravském kraji</w:t>
      </w:r>
      <w:r w:rsidR="00972AD9">
        <w:t xml:space="preserve">; </w:t>
      </w:r>
      <w:r w:rsidR="00730F2B">
        <w:t>s</w:t>
      </w:r>
      <w:r w:rsidR="00972AD9">
        <w:t xml:space="preserve"> odstupem 42 % </w:t>
      </w:r>
      <w:r w:rsidR="00090AE1">
        <w:t xml:space="preserve">je </w:t>
      </w:r>
      <w:r w:rsidR="00972AD9">
        <w:t>následují návštěvníci v Libereckém kraji, za nimi, se ztrátou 36 % jsou návštěvníci v Plzeňském kraji, zatímco stejně situovaní návštěvníci Moravsko</w:t>
      </w:r>
      <w:r w:rsidR="006C5FBD">
        <w:t>slezského kraje mají odstup od Z</w:t>
      </w:r>
      <w:r w:rsidR="00972AD9">
        <w:t xml:space="preserve">ápadočechů již 71 %. </w:t>
      </w:r>
    </w:p>
    <w:p w:rsidR="00186724" w:rsidRDefault="00090AE1" w:rsidP="002D17A7">
      <w:pPr>
        <w:spacing w:line="240" w:lineRule="auto"/>
        <w:rPr>
          <w:noProof/>
          <w:lang w:eastAsia="cs-CZ"/>
        </w:rPr>
      </w:pPr>
      <w:r>
        <w:lastRenderedPageBreak/>
        <w:t>Podobnou diferenciaci nalézáme v příjmové hladině kolem 23 tisíc korun: v návštěvnosti vede Jihočeský kraj, následován Královéhradeckým a Zlíns</w:t>
      </w:r>
      <w:r w:rsidR="004878C2">
        <w:t>kým krajem s ods</w:t>
      </w:r>
      <w:r w:rsidR="003E76EE">
        <w:t>tupy</w:t>
      </w:r>
      <w:r w:rsidR="006C5FBD">
        <w:t xml:space="preserve"> 4</w:t>
      </w:r>
      <w:r w:rsidR="004878C2">
        <w:t xml:space="preserve">0 % a </w:t>
      </w:r>
      <w:r w:rsidR="006C5FBD">
        <w:t>57</w:t>
      </w:r>
      <w:r>
        <w:t xml:space="preserve"> %, </w:t>
      </w:r>
      <w:r w:rsidR="003E76EE">
        <w:t>následuje skupina</w:t>
      </w:r>
      <w:r>
        <w:t xml:space="preserve"> krajů Ústeckého, Pardubického, Vysočiny a Olomouckého, jejichž odstup</w:t>
      </w:r>
      <w:r w:rsidR="003E76EE">
        <w:t>y</w:t>
      </w:r>
      <w:r>
        <w:t xml:space="preserve"> za Zlínským krajem je </w:t>
      </w:r>
      <w:r w:rsidR="00621EAD">
        <w:t>44 % až</w:t>
      </w:r>
      <w:r w:rsidR="00C94730">
        <w:t xml:space="preserve"> 56 %. Karlovarský kraj s příjmem obyvatel pod 22 tisíc korun uzavírá pole s odstupem návštěvnosti od Olomouckého kraje 58 %, od Moravskoslezského kraje</w:t>
      </w:r>
      <w:r w:rsidR="008F64D6">
        <w:t xml:space="preserve"> s bohatšími obyvateli</w:t>
      </w:r>
      <w:r w:rsidR="00C94730">
        <w:t xml:space="preserve"> však jen 10 %.</w:t>
      </w:r>
      <w:r w:rsidR="00F540F3">
        <w:t xml:space="preserve"> </w:t>
      </w:r>
    </w:p>
    <w:p w:rsidR="008F64D6" w:rsidRDefault="00186724" w:rsidP="008F64D6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5965FA5E" wp14:editId="58D27BA4">
            <wp:extent cx="5760720" cy="4451298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7F1" w:rsidRDefault="002D17A7" w:rsidP="00B5633B">
      <w:pPr>
        <w:spacing w:line="240" w:lineRule="auto"/>
      </w:pPr>
      <w:r>
        <w:t>Totéž, co vyplynulo z</w:t>
      </w:r>
      <w:r w:rsidR="000847F1">
        <w:t xml:space="preserve"> předcházející analýzy, potvrzuje se i v případě </w:t>
      </w:r>
      <w:r w:rsidR="000847F1" w:rsidRPr="000847F1">
        <w:rPr>
          <w:b/>
        </w:rPr>
        <w:t>návštěvnosti expozic a výstav v muzeích, galeriích a památnících</w:t>
      </w:r>
      <w:r w:rsidR="004B1E4A">
        <w:t>, a to ještě výrazně ostřeji</w:t>
      </w:r>
      <w:r w:rsidR="000847F1">
        <w:t xml:space="preserve">: proti Středočeskému kraji činí </w:t>
      </w:r>
      <w:r w:rsidR="000847F1" w:rsidRPr="000847F1">
        <w:rPr>
          <w:b/>
        </w:rPr>
        <w:t>náskok Prahy</w:t>
      </w:r>
      <w:r w:rsidR="000847F1">
        <w:t xml:space="preserve"> 71 %, proti Jihomoravskému kraji téměř 76 %, </w:t>
      </w:r>
      <w:r>
        <w:t xml:space="preserve">proti </w:t>
      </w:r>
      <w:r w:rsidR="000847F1">
        <w:t xml:space="preserve">Zlínskému kraji </w:t>
      </w:r>
      <w:r w:rsidR="004B1E4A">
        <w:t xml:space="preserve">80 % a poslední Liberecký kraj má ve srovnání s ní návštěvnost menší o téměř 94 %. </w:t>
      </w:r>
    </w:p>
    <w:p w:rsidR="00621EAD" w:rsidRDefault="00B5633B" w:rsidP="00284C76">
      <w:pPr>
        <w:spacing w:line="240" w:lineRule="auto"/>
      </w:pPr>
      <w:r>
        <w:t>Opět ponechme stranou Středočeský kraj</w:t>
      </w:r>
      <w:r w:rsidR="006C5FBD">
        <w:t xml:space="preserve"> a zaměřme se na kraje s příjmem obyvatel </w:t>
      </w:r>
      <w:r w:rsidR="002D17A7">
        <w:t xml:space="preserve">oscilujícím </w:t>
      </w:r>
      <w:r w:rsidR="006C5FBD">
        <w:t>kolem</w:t>
      </w:r>
      <w:r w:rsidR="002D17A7">
        <w:t xml:space="preserve"> </w:t>
      </w:r>
      <w:r w:rsidR="006C5FBD">
        <w:t>24 tisíc korun: z nich v návštěvnosti vede Jihomoravský kraj</w:t>
      </w:r>
      <w:r w:rsidR="00BF1C99">
        <w:t xml:space="preserve">, následován Moravskoslezským krajem s odstupem 39 %, Plzeňským krajem, jehož návštěvnost zaostává za Moravskoslezským krajem o 20 %, a pole uzavírá Liberecký kraj se ztrátou 47 % za Plzeňským krajem. </w:t>
      </w:r>
    </w:p>
    <w:p w:rsidR="00621EAD" w:rsidRDefault="00BF1C99" w:rsidP="00284C76">
      <w:pPr>
        <w:spacing w:line="240" w:lineRule="auto"/>
      </w:pPr>
      <w:r>
        <w:t>Pořadí krajů s příjmem obyvatel kolem 23 tisíc korun a jejich vzájemné odstupy jsou: Zlínský kraj, Královéhradecký kraj</w:t>
      </w:r>
      <w:r w:rsidR="00F817EE">
        <w:t xml:space="preserve"> – 25 %, </w:t>
      </w:r>
      <w:r>
        <w:t>Olomoucký kraj</w:t>
      </w:r>
      <w:r w:rsidR="00F817EE">
        <w:t xml:space="preserve"> – 1 %</w:t>
      </w:r>
      <w:r>
        <w:t>, Jihočeský kraj</w:t>
      </w:r>
      <w:r w:rsidR="00F817EE">
        <w:t xml:space="preserve"> – 11 %</w:t>
      </w:r>
      <w:r>
        <w:t>, Ústecký kra</w:t>
      </w:r>
      <w:r w:rsidR="00F817EE">
        <w:t xml:space="preserve">j – 11 %, Pardubický kraj – 22 % a kraj Vysočina – 8 </w:t>
      </w:r>
      <w:r w:rsidR="002D17A7">
        <w:t>%. Karlovarský kraj s nejnižším příjmem</w:t>
      </w:r>
      <w:r w:rsidR="00F817EE">
        <w:t xml:space="preserve"> obyvatel má návštěvnost </w:t>
      </w:r>
      <w:r w:rsidR="00F540F3">
        <w:t xml:space="preserve">o 15 % nižší proti kraji Vysočina, Liberecký kraj s lépe situovanými obyvateli ji má naopak nižší o 13 %. </w:t>
      </w:r>
    </w:p>
    <w:p w:rsidR="00284C76" w:rsidRDefault="00284C76" w:rsidP="00284C76">
      <w:pPr>
        <w:spacing w:line="240" w:lineRule="auto"/>
      </w:pPr>
      <w:r>
        <w:lastRenderedPageBreak/>
        <w:t xml:space="preserve">Rovněž tato analýza tedy ukazuje </w:t>
      </w:r>
      <w:r>
        <w:rPr>
          <w:b/>
        </w:rPr>
        <w:t>významnou diferenciaci v návštěvnosti mezi kraji s podobnými příjmy obyvatel</w:t>
      </w:r>
      <w:r>
        <w:t>, i když ne s tak strmými rozdíly, jako u návštěvnosti památkových objektů – platí to zejména v případu krajů s nižšími příjmy obyvatel.</w:t>
      </w:r>
    </w:p>
    <w:p w:rsidR="00284C76" w:rsidRDefault="00284C76" w:rsidP="00284C76">
      <w:pPr>
        <w:spacing w:line="240" w:lineRule="auto"/>
      </w:pPr>
      <w:r>
        <w:t>Obě a</w:t>
      </w:r>
      <w:r w:rsidR="0045608B">
        <w:t>nalýzy potvrzují existenci</w:t>
      </w:r>
      <w:r>
        <w:t xml:space="preserve"> specifik jed</w:t>
      </w:r>
      <w:r w:rsidR="00D15882">
        <w:t>notlivých krajů a vedou k</w:t>
      </w:r>
      <w:r w:rsidR="002D17A7">
        <w:t xml:space="preserve"> těmto </w:t>
      </w:r>
      <w:r w:rsidR="00D15882">
        <w:t>závěrům</w:t>
      </w:r>
      <w:r>
        <w:t>:</w:t>
      </w:r>
    </w:p>
    <w:p w:rsidR="00284C76" w:rsidRPr="0045608B" w:rsidRDefault="0045608B" w:rsidP="00284C76">
      <w:pPr>
        <w:pStyle w:val="Odstavecseseznamem"/>
        <w:numPr>
          <w:ilvl w:val="0"/>
          <w:numId w:val="5"/>
        </w:numPr>
        <w:spacing w:line="240" w:lineRule="auto"/>
        <w:rPr>
          <w:b/>
        </w:rPr>
      </w:pPr>
      <w:r w:rsidRPr="0045608B">
        <w:rPr>
          <w:b/>
        </w:rPr>
        <w:t>Praha se dramaticky odpoutala od ostatních krajů;</w:t>
      </w:r>
    </w:p>
    <w:p w:rsidR="0045608B" w:rsidRPr="0045608B" w:rsidRDefault="0045608B" w:rsidP="00284C76">
      <w:pPr>
        <w:pStyle w:val="Odstavecseseznamem"/>
        <w:numPr>
          <w:ilvl w:val="0"/>
          <w:numId w:val="5"/>
        </w:numPr>
        <w:spacing w:line="240" w:lineRule="auto"/>
        <w:rPr>
          <w:b/>
        </w:rPr>
      </w:pPr>
      <w:r w:rsidRPr="0045608B">
        <w:rPr>
          <w:b/>
        </w:rPr>
        <w:t>mezi kraji má vedoucí postavení Středočeský kraj;</w:t>
      </w:r>
    </w:p>
    <w:p w:rsidR="0045608B" w:rsidRPr="0045608B" w:rsidRDefault="0045608B" w:rsidP="00284C76">
      <w:pPr>
        <w:pStyle w:val="Odstavecseseznamem"/>
        <w:numPr>
          <w:ilvl w:val="0"/>
          <w:numId w:val="5"/>
        </w:numPr>
        <w:spacing w:line="240" w:lineRule="auto"/>
        <w:rPr>
          <w:b/>
        </w:rPr>
      </w:pPr>
      <w:r w:rsidRPr="0045608B">
        <w:rPr>
          <w:b/>
        </w:rPr>
        <w:t>nebyla zjištěna žádná jednoznačná vazba mezi výší příjmu obyvatel krajů a jejich participací na kulturních aktivitách ve formě návštěv památkových objektů a návštěv expozic a výstav v muzeích, galeriích a památnících;</w:t>
      </w:r>
    </w:p>
    <w:p w:rsidR="0045608B" w:rsidRDefault="002D17A7" w:rsidP="00284C76">
      <w:pPr>
        <w:pStyle w:val="Odstavecseseznamem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existují</w:t>
      </w:r>
      <w:r w:rsidR="0045608B" w:rsidRPr="0045608B">
        <w:rPr>
          <w:b/>
        </w:rPr>
        <w:t xml:space="preserve"> značné rozdíly v návštěvnosti jak památek, tak expozic a výstav mezi kraji se srovnatelnými příjmy jejich obyvatel.</w:t>
      </w:r>
    </w:p>
    <w:p w:rsidR="006E77C4" w:rsidRDefault="006E77C4" w:rsidP="006E77C4">
      <w:pPr>
        <w:spacing w:line="240" w:lineRule="auto"/>
      </w:pPr>
      <w:bookmarkStart w:id="0" w:name="_GoBack"/>
      <w:bookmarkEnd w:id="0"/>
      <w:r>
        <w:t xml:space="preserve">Na otázku navozenou v titulku tohoto příspěvku je tedy třeba odpovědět spíše záporně: </w:t>
      </w:r>
      <w:r w:rsidRPr="006E77C4">
        <w:rPr>
          <w:b/>
        </w:rPr>
        <w:t>participace obyvatel na kulturních aktivitách má v našem prostředí hlubší kořeny, než pouhou příslušnost k vyšším příjmovým skupinám</w:t>
      </w:r>
      <w:r>
        <w:t xml:space="preserve">. Kultura se bohudíky ještě nestala výsadou </w:t>
      </w:r>
      <w:r w:rsidR="00D15882">
        <w:t xml:space="preserve">jen </w:t>
      </w:r>
      <w:r>
        <w:t>b</w:t>
      </w:r>
      <w:r w:rsidR="00D15882">
        <w:t xml:space="preserve">ohatých, jako okázalé bydlení či </w:t>
      </w:r>
      <w:r w:rsidR="002D17A7">
        <w:t xml:space="preserve">luxusní </w:t>
      </w:r>
      <w:r w:rsidR="00A515C1">
        <w:t>automobily</w:t>
      </w:r>
      <w:r w:rsidR="00D15882">
        <w:t>.</w:t>
      </w:r>
    </w:p>
    <w:p w:rsidR="003341E2" w:rsidRDefault="006A2D59" w:rsidP="007C6FCA">
      <w:pPr>
        <w:spacing w:line="240" w:lineRule="auto"/>
      </w:pPr>
      <w:r>
        <w:t xml:space="preserve">Připomeňme </w:t>
      </w:r>
      <w:r w:rsidRPr="00C06A4A">
        <w:rPr>
          <w:b/>
        </w:rPr>
        <w:t>možné vysvětlení vysoké úrovně participace na kulturních aktivitách</w:t>
      </w:r>
      <w:r>
        <w:t xml:space="preserve"> ve skandinávských zemích</w:t>
      </w:r>
      <w:r w:rsidR="00A33146">
        <w:t xml:space="preserve">, s nimiž je srovnávána úroveň participace u nás: vedle vysokých příjmů obyvatelstva by mohlo jít o tamní masovou hodnotovou orientaci na </w:t>
      </w:r>
      <w:proofErr w:type="spellStart"/>
      <w:r w:rsidR="00A33146">
        <w:t>postmaterialismus</w:t>
      </w:r>
      <w:proofErr w:type="spellEnd"/>
      <w:r w:rsidR="00A33146">
        <w:t xml:space="preserve"> a o sekularizaci. </w:t>
      </w:r>
    </w:p>
    <w:p w:rsidR="007C6FCA" w:rsidRDefault="00A33146" w:rsidP="007C6FCA">
      <w:pPr>
        <w:spacing w:line="240" w:lineRule="auto"/>
      </w:pPr>
      <w:r>
        <w:t xml:space="preserve">Pokud jde o </w:t>
      </w:r>
      <w:r w:rsidRPr="003341E2">
        <w:rPr>
          <w:b/>
        </w:rPr>
        <w:t>hodnotovou orientaci české společnosti</w:t>
      </w:r>
      <w:r>
        <w:t>, ze sociologických průzkumů</w:t>
      </w:r>
      <w:r>
        <w:rPr>
          <w:rStyle w:val="Znakapoznpodarou"/>
        </w:rPr>
        <w:footnoteReference w:id="14"/>
      </w:r>
      <w:r>
        <w:t xml:space="preserve"> vyplývá</w:t>
      </w:r>
      <w:r w:rsidR="007C6FCA">
        <w:t xml:space="preserve"> mimo jiné: </w:t>
      </w:r>
    </w:p>
    <w:p w:rsidR="006A2D59" w:rsidRDefault="007C6FCA" w:rsidP="007C6FCA">
      <w:pPr>
        <w:pStyle w:val="Odstavecseseznamem"/>
        <w:numPr>
          <w:ilvl w:val="0"/>
          <w:numId w:val="7"/>
        </w:numPr>
        <w:spacing w:line="240" w:lineRule="auto"/>
      </w:pPr>
      <w:r w:rsidRPr="007C6FCA">
        <w:rPr>
          <w:b/>
        </w:rPr>
        <w:t>různorodost orientací</w:t>
      </w:r>
      <w:r>
        <w:t xml:space="preserve">, typická pro společnosti s výraznou </w:t>
      </w:r>
      <w:r w:rsidRPr="007C6FCA">
        <w:rPr>
          <w:b/>
        </w:rPr>
        <w:t>pluralitou, nesourodostí až konfliktností hodnot</w:t>
      </w:r>
      <w:r>
        <w:t xml:space="preserve">; zároveň </w:t>
      </w:r>
      <w:r w:rsidRPr="007C6FCA">
        <w:rPr>
          <w:b/>
        </w:rPr>
        <w:t>mísení hodnot</w:t>
      </w:r>
      <w:r>
        <w:t xml:space="preserve"> přežívajících z totalitní minulosti s hodnotami pluralitní demokracie, tržního hospodářství a právního státu (proces transformace společnosti odhadoval např. Ralf </w:t>
      </w:r>
      <w:proofErr w:type="spellStart"/>
      <w:r>
        <w:t>Dahrendorf</w:t>
      </w:r>
      <w:proofErr w:type="spellEnd"/>
      <w:r>
        <w:t xml:space="preserve"> na 60 let</w:t>
      </w:r>
      <w:r>
        <w:rPr>
          <w:rStyle w:val="Znakapoznpodarou"/>
        </w:rPr>
        <w:footnoteReference w:id="15"/>
      </w:r>
      <w:r>
        <w:t>);</w:t>
      </w:r>
      <w:r w:rsidR="00C06A4A">
        <w:t xml:space="preserve"> v současné české společnosti existuje několik hodnototvorných orientací: orientace na rodinu, zdraví a štěstí, orientace na úspěch, bohatství a postavení, orientace na duševní hodnoty a odpovědnost k životu </w:t>
      </w:r>
      <w:r w:rsidR="003341E2">
        <w:t>(k této orientaci</w:t>
      </w:r>
      <w:r w:rsidR="00C06A4A">
        <w:t xml:space="preserve"> patří i </w:t>
      </w:r>
      <w:r w:rsidR="00C06A4A" w:rsidRPr="003341E2">
        <w:rPr>
          <w:b/>
        </w:rPr>
        <w:t>věnování se kultuře, umění</w:t>
      </w:r>
      <w:r w:rsidR="00C06A4A">
        <w:t>) a orientace na poklidné soukromí a aktivní život s přáteli;</w:t>
      </w:r>
    </w:p>
    <w:p w:rsidR="007C6FCA" w:rsidRDefault="00C06A4A" w:rsidP="007C6FCA">
      <w:pPr>
        <w:pStyle w:val="Odstavecseseznamem"/>
        <w:numPr>
          <w:ilvl w:val="0"/>
          <w:numId w:val="7"/>
        </w:numPr>
        <w:spacing w:line="240" w:lineRule="auto"/>
      </w:pPr>
      <w:r>
        <w:t xml:space="preserve">distance od příliš jednoznačných koncepcí, skeptický individualismus a </w:t>
      </w:r>
      <w:r w:rsidRPr="00C06A4A">
        <w:rPr>
          <w:b/>
        </w:rPr>
        <w:t>neangažovaný, na soukromí zaměřený způsob života, náboženská vlažnost a nedůvěřivost</w:t>
      </w:r>
      <w:r>
        <w:t>; orientace na věcnost, realismus, racionalitu a analytičnost spolu s deficitem generalizujícího, abstraktního a spekulativního myšlení, nedůvěra k teorii;</w:t>
      </w:r>
    </w:p>
    <w:p w:rsidR="00C06A4A" w:rsidRDefault="00C06A4A" w:rsidP="007C6FCA">
      <w:pPr>
        <w:pStyle w:val="Odstavecseseznamem"/>
        <w:numPr>
          <w:ilvl w:val="0"/>
          <w:numId w:val="7"/>
        </w:numPr>
        <w:spacing w:line="240" w:lineRule="auto"/>
      </w:pPr>
      <w:r w:rsidRPr="003341E2">
        <w:rPr>
          <w:b/>
        </w:rPr>
        <w:t>dlouhodobě</w:t>
      </w:r>
      <w:r>
        <w:t xml:space="preserve"> převaha individualistických hodnot</w:t>
      </w:r>
      <w:r w:rsidR="000D5CFE">
        <w:t xml:space="preserve">, oceňování vzdělanosti, pracovitosti, umírněnosti, opatrnost a nenásilné řešení konfliktů, </w:t>
      </w:r>
      <w:r w:rsidR="000D5CFE" w:rsidRPr="003341E2">
        <w:rPr>
          <w:b/>
        </w:rPr>
        <w:t>důraz na praktické hodnoty</w:t>
      </w:r>
      <w:r w:rsidR="000D5CFE">
        <w:t xml:space="preserve">; </w:t>
      </w:r>
      <w:r w:rsidR="000D5CFE" w:rsidRPr="003341E2">
        <w:rPr>
          <w:b/>
        </w:rPr>
        <w:t>střednědobě</w:t>
      </w:r>
      <w:r w:rsidR="000D5CFE">
        <w:t xml:space="preserve"> destrukce základních měšťanských hodnot, deziluze a </w:t>
      </w:r>
      <w:r w:rsidR="000D5CFE" w:rsidRPr="003341E2">
        <w:rPr>
          <w:b/>
        </w:rPr>
        <w:t>pasivita</w:t>
      </w:r>
      <w:r w:rsidR="000D5CFE">
        <w:t xml:space="preserve">, skepticismus; </w:t>
      </w:r>
      <w:r w:rsidR="000D5CFE" w:rsidRPr="003341E2">
        <w:rPr>
          <w:b/>
        </w:rPr>
        <w:t>aktuálně</w:t>
      </w:r>
      <w:r w:rsidR="000D5CFE">
        <w:t xml:space="preserve"> nedůvěra k novému státu, politická deziluze, vytrácení morálního náboje změn, vzrůst přijatelnosti porušování norem slušného chování, zejména v oblasti ekonomiky.</w:t>
      </w:r>
    </w:p>
    <w:p w:rsidR="000D5CFE" w:rsidRDefault="00AC4C6B" w:rsidP="000D5CFE">
      <w:pPr>
        <w:spacing w:line="240" w:lineRule="auto"/>
      </w:pPr>
      <w:r>
        <w:lastRenderedPageBreak/>
        <w:t>O procesu</w:t>
      </w:r>
      <w:r w:rsidR="00E80519">
        <w:t xml:space="preserve"> </w:t>
      </w:r>
      <w:r w:rsidR="00E80519" w:rsidRPr="003341E2">
        <w:rPr>
          <w:b/>
        </w:rPr>
        <w:t xml:space="preserve">sekularizace </w:t>
      </w:r>
      <w:r w:rsidR="0074009A" w:rsidRPr="003341E2">
        <w:rPr>
          <w:b/>
        </w:rPr>
        <w:t>u nás</w:t>
      </w:r>
      <w:r w:rsidR="0074009A">
        <w:t xml:space="preserve"> </w:t>
      </w:r>
      <w:r w:rsidR="00E80519">
        <w:t>(pokud ji chápeme jako zesvětštění nábožens</w:t>
      </w:r>
      <w:r>
        <w:t>kých hodnot, resp. jejich vypuzová</w:t>
      </w:r>
      <w:r w:rsidR="00E80519">
        <w:t>ní z veřejného života, nikoli v teologickém smyslu jako uznání samostatnosti a účelnosti vlastního světa na základě víry</w:t>
      </w:r>
      <w:r w:rsidR="0074009A">
        <w:t>, ani v</w:t>
      </w:r>
      <w:r w:rsidR="00E80519">
        <w:t xml:space="preserve"> zúženém smyslu jako zabavení církevního majetku státem</w:t>
      </w:r>
      <w:r w:rsidR="00E80519">
        <w:rPr>
          <w:rStyle w:val="Znakapoznpodarou"/>
        </w:rPr>
        <w:footnoteReference w:id="16"/>
      </w:r>
      <w:r w:rsidR="0074009A">
        <w:t>) svědčí průzkumy SC</w:t>
      </w:r>
      <w:r w:rsidR="0074009A">
        <w:rPr>
          <w:lang w:val="en-US"/>
        </w:rPr>
        <w:t>&amp;</w:t>
      </w:r>
      <w:r w:rsidR="0074009A">
        <w:t>C</w:t>
      </w:r>
      <w:r w:rsidR="006D33AF">
        <w:rPr>
          <w:rStyle w:val="Znakapoznpodarou"/>
        </w:rPr>
        <w:footnoteReference w:id="17"/>
      </w:r>
      <w:r w:rsidR="0074009A">
        <w:t xml:space="preserve">, z nichž vyplývá, že </w:t>
      </w:r>
      <w:r w:rsidR="0074009A" w:rsidRPr="00AC4C6B">
        <w:t>zatímco v roce 1991 se</w:t>
      </w:r>
      <w:r w:rsidR="0074009A" w:rsidRPr="006D33AF">
        <w:rPr>
          <w:b/>
        </w:rPr>
        <w:t xml:space="preserve"> </w:t>
      </w:r>
      <w:r w:rsidR="0074009A" w:rsidRPr="00AC4C6B">
        <w:t>k nějakému</w:t>
      </w:r>
      <w:r w:rsidR="0074009A" w:rsidRPr="006D33AF">
        <w:rPr>
          <w:b/>
        </w:rPr>
        <w:t xml:space="preserve"> náboženskému vyznání hlásilo </w:t>
      </w:r>
      <w:r w:rsidR="0074009A" w:rsidRPr="00AC4C6B">
        <w:t>40,4 % celé populace, v roce 1999 to bylo již jen 33,2 %, tedy o 7,2 % méně</w:t>
      </w:r>
      <w:r w:rsidR="0074009A">
        <w:t xml:space="preserve"> </w:t>
      </w:r>
      <w:r w:rsidR="00C50FEA">
        <w:t>(ke katolickému vyznání se hlásilo v roce 1991 35,2 % populace</w:t>
      </w:r>
      <w:r>
        <w:t xml:space="preserve">, </w:t>
      </w:r>
      <w:r w:rsidR="00C50FEA">
        <w:t xml:space="preserve">v roce 1999 28,0 %, k evangelíkům </w:t>
      </w:r>
      <w:r>
        <w:t>a luteránům 2,3 %, resp.</w:t>
      </w:r>
      <w:r w:rsidR="00C50FEA">
        <w:t xml:space="preserve"> 2,5 %), bez vyznání bylo 59,9 % </w:t>
      </w:r>
      <w:r>
        <w:t>a 66,9 %, tedy nárůst o 7,0 %. N</w:t>
      </w:r>
      <w:r w:rsidR="00C50FEA">
        <w:t xml:space="preserve">icméně, i když v těchto letech v Boha </w:t>
      </w:r>
      <w:r w:rsidR="006D33AF">
        <w:t>jako osobu věřilo pouze 12,2 %, resp.</w:t>
      </w:r>
      <w:r w:rsidR="00C50FEA">
        <w:t xml:space="preserve"> 6,5 % populace, přesvědčených o existenci čehosi jako ducha nebo životní síly přibylo z 37,7 % na 50,2 %.</w:t>
      </w:r>
      <w:r w:rsidR="00C50FEA">
        <w:rPr>
          <w:rStyle w:val="Znakapoznpodarou"/>
        </w:rPr>
        <w:footnoteReference w:id="18"/>
      </w:r>
      <w:r w:rsidR="00C50FEA">
        <w:t xml:space="preserve"> </w:t>
      </w:r>
      <w:r w:rsidR="006D33AF">
        <w:t>Průzkum SANEP</w:t>
      </w:r>
      <w:r w:rsidR="006D33AF">
        <w:rPr>
          <w:rStyle w:val="Znakapoznpodarou"/>
        </w:rPr>
        <w:footnoteReference w:id="19"/>
      </w:r>
      <w:r w:rsidR="006D33AF">
        <w:t xml:space="preserve"> z roku 2009 uvádí 24 % Čechů hlásících se k víře, z nich pravidelně navštěvujících kostel 10 %; nejvíce věřících je ve věku 58 a více let; nejvíce nábožensky založených lidí žije na Moravě, nejméně v Praze a ve Středočeském kraji.</w:t>
      </w:r>
      <w:r w:rsidR="006D33AF">
        <w:rPr>
          <w:rStyle w:val="Znakapoznpodarou"/>
        </w:rPr>
        <w:footnoteReference w:id="20"/>
      </w:r>
    </w:p>
    <w:p w:rsidR="00AC4C6B" w:rsidRDefault="00AC4C6B" w:rsidP="000D5CFE">
      <w:pPr>
        <w:spacing w:line="240" w:lineRule="auto"/>
      </w:pPr>
      <w:r>
        <w:t xml:space="preserve">Jak se zdá, </w:t>
      </w:r>
      <w:r w:rsidRPr="00815C21">
        <w:rPr>
          <w:b/>
        </w:rPr>
        <w:t>jednoduché vysvětlení z těchto dostupných empirických dat ne</w:t>
      </w:r>
      <w:r w:rsidR="00A515C1" w:rsidRPr="00815C21">
        <w:rPr>
          <w:b/>
        </w:rPr>
        <w:t xml:space="preserve">vyplývá. Jisté náznaky hodnotového pozadí participace na kulturních aktivitách, jakož i </w:t>
      </w:r>
      <w:r w:rsidR="00815C21" w:rsidRPr="00815C21">
        <w:rPr>
          <w:b/>
        </w:rPr>
        <w:t xml:space="preserve">zjevné </w:t>
      </w:r>
      <w:r w:rsidR="00A515C1" w:rsidRPr="00815C21">
        <w:rPr>
          <w:b/>
        </w:rPr>
        <w:t xml:space="preserve">vytěsňování </w:t>
      </w:r>
      <w:r w:rsidR="00815C21" w:rsidRPr="00815C21">
        <w:rPr>
          <w:b/>
        </w:rPr>
        <w:t>uspokojování kulturních potřeb z církevního do profánního prostředí, však patrné jsou.</w:t>
      </w:r>
      <w:r w:rsidR="00815C21">
        <w:t xml:space="preserve"> Zabývat se těmito bezesporu velmi zajímavými otázkami p</w:t>
      </w:r>
      <w:r w:rsidR="00A515C1">
        <w:t>odr</w:t>
      </w:r>
      <w:r w:rsidR="00815C21">
        <w:t>obněji</w:t>
      </w:r>
      <w:r w:rsidR="00A515C1">
        <w:t xml:space="preserve"> </w:t>
      </w:r>
      <w:r w:rsidR="00815C21">
        <w:t>by ale</w:t>
      </w:r>
      <w:r w:rsidR="00A515C1">
        <w:t xml:space="preserve"> byl</w:t>
      </w:r>
      <w:r w:rsidR="00815C21">
        <w:t>o</w:t>
      </w:r>
      <w:r w:rsidR="00A515C1">
        <w:t xml:space="preserve"> </w:t>
      </w:r>
      <w:r w:rsidR="00815C21">
        <w:t xml:space="preserve">již zcela </w:t>
      </w:r>
      <w:r w:rsidR="00A515C1">
        <w:t>mimo hranice našeho zaměření.</w:t>
      </w:r>
    </w:p>
    <w:p w:rsidR="003341E2" w:rsidRPr="0074009A" w:rsidRDefault="003341E2" w:rsidP="000D5CFE">
      <w:pPr>
        <w:spacing w:line="240" w:lineRule="auto"/>
      </w:pPr>
    </w:p>
    <w:p w:rsidR="00D15882" w:rsidRPr="006E77C4" w:rsidRDefault="003341E2" w:rsidP="006E77C4">
      <w:pPr>
        <w:spacing w:line="240" w:lineRule="auto"/>
      </w:pPr>
      <w:r>
        <w:t>Poněvadž jsme při našich</w:t>
      </w:r>
      <w:r w:rsidR="00D15882">
        <w:t xml:space="preserve"> analýzách </w:t>
      </w:r>
      <w:r w:rsidR="00A515C1">
        <w:t xml:space="preserve">dosud </w:t>
      </w:r>
      <w:r w:rsidR="00D15882">
        <w:t>neuvažovali o faktoru cestovního ruchu, budeme se mu věnovat v příštím příspěvku.</w:t>
      </w:r>
    </w:p>
    <w:p w:rsidR="00284C76" w:rsidRDefault="00284C76" w:rsidP="00284C76">
      <w:pPr>
        <w:spacing w:line="240" w:lineRule="auto"/>
        <w:rPr>
          <w:noProof/>
          <w:lang w:eastAsia="cs-CZ"/>
        </w:rPr>
      </w:pPr>
    </w:p>
    <w:p w:rsidR="004B1E4A" w:rsidRDefault="004B1E4A" w:rsidP="00BF1C99">
      <w:pPr>
        <w:spacing w:line="240" w:lineRule="auto"/>
      </w:pPr>
    </w:p>
    <w:p w:rsidR="008F64D6" w:rsidRDefault="008F64D6" w:rsidP="008F64D6"/>
    <w:p w:rsidR="008F64D6" w:rsidRPr="008F64D6" w:rsidRDefault="008F64D6" w:rsidP="008F64D6"/>
    <w:p w:rsidR="0066073C" w:rsidRPr="008F64D6" w:rsidRDefault="0066073C">
      <w:pPr>
        <w:rPr>
          <w:b/>
        </w:rPr>
      </w:pPr>
    </w:p>
    <w:p w:rsidR="00582C91" w:rsidRPr="00024ED8" w:rsidRDefault="00582C91"/>
    <w:sectPr w:rsidR="00582C91" w:rsidRPr="00024ED8" w:rsidSect="006567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2D" w:rsidRDefault="003C7F2D" w:rsidP="00C0137F">
      <w:pPr>
        <w:spacing w:after="0" w:line="240" w:lineRule="auto"/>
      </w:pPr>
      <w:r>
        <w:separator/>
      </w:r>
    </w:p>
  </w:endnote>
  <w:endnote w:type="continuationSeparator" w:id="0">
    <w:p w:rsidR="003C7F2D" w:rsidRDefault="003C7F2D" w:rsidP="00C0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2D" w:rsidRDefault="003C7F2D" w:rsidP="00C0137F">
      <w:pPr>
        <w:spacing w:after="0" w:line="240" w:lineRule="auto"/>
      </w:pPr>
      <w:r>
        <w:separator/>
      </w:r>
    </w:p>
  </w:footnote>
  <w:footnote w:type="continuationSeparator" w:id="0">
    <w:p w:rsidR="003C7F2D" w:rsidRDefault="003C7F2D" w:rsidP="00C0137F">
      <w:pPr>
        <w:spacing w:after="0" w:line="240" w:lineRule="auto"/>
      </w:pPr>
      <w:r>
        <w:continuationSeparator/>
      </w:r>
    </w:p>
  </w:footnote>
  <w:footnote w:id="1">
    <w:p w:rsidR="003F7F94" w:rsidRDefault="00C0137F" w:rsidP="00C0137F">
      <w:pPr>
        <w:pStyle w:val="Textpoznpodarou"/>
      </w:pPr>
      <w:r>
        <w:rPr>
          <w:rStyle w:val="Znakapoznpodarou"/>
        </w:rPr>
        <w:footnoteRef/>
      </w:r>
      <w:r w:rsidR="003242B7">
        <w:t xml:space="preserve"> DOSTÁL, P., </w:t>
      </w:r>
      <w:proofErr w:type="gramStart"/>
      <w:r w:rsidR="003242B7">
        <w:t xml:space="preserve">KISLINGEROVÁ, </w:t>
      </w:r>
      <w:r>
        <w:t>E. a kol</w:t>
      </w:r>
      <w:proofErr w:type="gramEnd"/>
      <w:r>
        <w:t xml:space="preserve">.: </w:t>
      </w:r>
      <w:r>
        <w:rPr>
          <w:i/>
        </w:rPr>
        <w:t xml:space="preserve">Ekonomika kultury. Efektivní metody a nástroje podnikání v sektoru kultury. </w:t>
      </w:r>
      <w:r>
        <w:t xml:space="preserve">Praha: VŠE v Praze, Nakladatelství </w:t>
      </w:r>
      <w:proofErr w:type="spellStart"/>
      <w:r>
        <w:t>Oeconomica</w:t>
      </w:r>
      <w:proofErr w:type="spellEnd"/>
      <w:r>
        <w:t xml:space="preserve">, 2012, ISBN 978-80-245-1886-2. </w:t>
      </w:r>
    </w:p>
    <w:p w:rsidR="00C0137F" w:rsidRDefault="00C0137F">
      <w:pPr>
        <w:pStyle w:val="Textpoznpodarou"/>
      </w:pPr>
    </w:p>
  </w:footnote>
  <w:footnote w:id="2">
    <w:p w:rsidR="003F7F94" w:rsidRPr="003F7F94" w:rsidRDefault="003F7F94">
      <w:pPr>
        <w:pStyle w:val="Textpoznpodarou"/>
      </w:pPr>
      <w:r>
        <w:rPr>
          <w:rStyle w:val="Znakapoznpodarou"/>
        </w:rPr>
        <w:footnoteRef/>
      </w:r>
      <w:r>
        <w:t xml:space="preserve"> BAUMAN, Z.: </w:t>
      </w:r>
      <w:r>
        <w:rPr>
          <w:i/>
        </w:rPr>
        <w:t xml:space="preserve">Globalizace. Důsledky pro člověka. </w:t>
      </w:r>
      <w:r>
        <w:t>Praha: Mladá fronta, 1999, s. 27 – 35, 106 – 120, ISBN 80-204-0817-7.</w:t>
      </w:r>
    </w:p>
  </w:footnote>
  <w:footnote w:id="3">
    <w:p w:rsidR="008F65CE" w:rsidRPr="008F65CE" w:rsidRDefault="008F65CE">
      <w:pPr>
        <w:pStyle w:val="Textpoznpodarou"/>
      </w:pPr>
      <w:r>
        <w:rPr>
          <w:rStyle w:val="Znakapoznpodarou"/>
        </w:rPr>
        <w:footnoteRef/>
      </w:r>
      <w:r>
        <w:t xml:space="preserve"> KERLES, M.: </w:t>
      </w:r>
      <w:r>
        <w:rPr>
          <w:i/>
        </w:rPr>
        <w:t xml:space="preserve">Když práce nepřináší koláče. </w:t>
      </w:r>
      <w:r>
        <w:t>LN, 30. 5. 2013.</w:t>
      </w:r>
    </w:p>
  </w:footnote>
  <w:footnote w:id="4">
    <w:p w:rsidR="002E28CE" w:rsidRDefault="002E28CE">
      <w:pPr>
        <w:pStyle w:val="Textpoznpodarou"/>
      </w:pPr>
      <w:r>
        <w:rPr>
          <w:rStyle w:val="Znakapoznpodarou"/>
        </w:rPr>
        <w:footnoteRef/>
      </w:r>
      <w:r>
        <w:t xml:space="preserve"> V březnu 2013, očištěná o sezónní vlivy.</w:t>
      </w:r>
    </w:p>
  </w:footnote>
  <w:footnote w:id="5">
    <w:p w:rsidR="008F65CE" w:rsidRDefault="008F65CE">
      <w:pPr>
        <w:pStyle w:val="Textpoznpodarou"/>
      </w:pPr>
      <w:r>
        <w:rPr>
          <w:rStyle w:val="Znakapoznpodarou"/>
        </w:rPr>
        <w:footnoteRef/>
      </w:r>
      <w:r>
        <w:t xml:space="preserve"> K témuž měsíci.</w:t>
      </w:r>
    </w:p>
  </w:footnote>
  <w:footnote w:id="6">
    <w:p w:rsidR="008F65CE" w:rsidRPr="008F65CE" w:rsidRDefault="008F65CE">
      <w:pPr>
        <w:pStyle w:val="Textpoznpodarou"/>
      </w:pPr>
      <w:r>
        <w:rPr>
          <w:rStyle w:val="Znakapoznpodarou"/>
        </w:rPr>
        <w:footnoteRef/>
      </w:r>
      <w:r>
        <w:t xml:space="preserve"> VOLF, V.: </w:t>
      </w:r>
      <w:r>
        <w:rPr>
          <w:i/>
        </w:rPr>
        <w:t xml:space="preserve">Nezaměstnanost drtí Evropu. </w:t>
      </w:r>
      <w:r>
        <w:t>LN, 9. 5. 2013.</w:t>
      </w:r>
    </w:p>
  </w:footnote>
  <w:footnote w:id="7">
    <w:p w:rsidR="00972B8F" w:rsidRPr="00E0560B" w:rsidRDefault="00972B8F">
      <w:pPr>
        <w:pStyle w:val="Textpoznpodarou"/>
      </w:pPr>
      <w:r>
        <w:rPr>
          <w:rStyle w:val="Znakapoznpodarou"/>
        </w:rPr>
        <w:footnoteRef/>
      </w:r>
      <w:r>
        <w:t xml:space="preserve"> VRBA, O.: </w:t>
      </w:r>
      <w:r w:rsidR="00E0560B">
        <w:rPr>
          <w:i/>
        </w:rPr>
        <w:t xml:space="preserve">Češi ztrácí na Evropu, dohání je Slováci. </w:t>
      </w:r>
      <w:r w:rsidR="00E0560B">
        <w:t xml:space="preserve">LN, 1. 8. 2013. VRBA, O.: </w:t>
      </w:r>
      <w:r w:rsidR="00E0560B">
        <w:rPr>
          <w:i/>
        </w:rPr>
        <w:t xml:space="preserve">Hon za blahobytem uvázl v krizi. </w:t>
      </w:r>
      <w:r w:rsidR="00E0560B">
        <w:t>LN, 1. 8. 2013.</w:t>
      </w:r>
    </w:p>
  </w:footnote>
  <w:footnote w:id="8">
    <w:p w:rsidR="00217414" w:rsidRPr="00217414" w:rsidRDefault="00217414">
      <w:pPr>
        <w:pStyle w:val="Textpoznpodarou"/>
      </w:pPr>
      <w:r>
        <w:rPr>
          <w:rStyle w:val="Znakapoznpodarou"/>
        </w:rPr>
        <w:footnoteRef/>
      </w:r>
      <w:r>
        <w:t xml:space="preserve"> TRAMBA, D.: </w:t>
      </w:r>
      <w:r>
        <w:rPr>
          <w:i/>
        </w:rPr>
        <w:t xml:space="preserve">Praha bohatne, jiné kraje ne. </w:t>
      </w:r>
      <w:r>
        <w:t xml:space="preserve">LN, 15. 6. 2013. VRBA, O.: </w:t>
      </w:r>
      <w:r>
        <w:rPr>
          <w:i/>
        </w:rPr>
        <w:t xml:space="preserve">Hon za blahobytem uvázl v krizi. </w:t>
      </w:r>
      <w:r>
        <w:t>LN, 1. 8. 2013.</w:t>
      </w:r>
    </w:p>
  </w:footnote>
  <w:footnote w:id="9">
    <w:p w:rsidR="00C53A66" w:rsidRDefault="00C53A66">
      <w:pPr>
        <w:pStyle w:val="Textpoznpodarou"/>
      </w:pPr>
      <w:r>
        <w:rPr>
          <w:rStyle w:val="Znakapoznpodarou"/>
        </w:rPr>
        <w:footnoteRef/>
      </w:r>
      <w:r>
        <w:t xml:space="preserve"> Pramen: Český statistický úřad.</w:t>
      </w:r>
    </w:p>
  </w:footnote>
  <w:footnote w:id="10">
    <w:p w:rsidR="00C53A66" w:rsidRDefault="00C53A66">
      <w:pPr>
        <w:pStyle w:val="Textpoznpodarou"/>
      </w:pPr>
      <w:r>
        <w:rPr>
          <w:rStyle w:val="Znakapoznpodarou"/>
        </w:rPr>
        <w:footnoteRef/>
      </w:r>
      <w:r>
        <w:t xml:space="preserve"> Pramen: Český statistický úřad.</w:t>
      </w:r>
    </w:p>
  </w:footnote>
  <w:footnote w:id="11">
    <w:p w:rsidR="00FF5490" w:rsidRPr="00FF5490" w:rsidRDefault="00FF5490">
      <w:pPr>
        <w:pStyle w:val="Textpoznpodarou"/>
      </w:pPr>
      <w:r>
        <w:rPr>
          <w:rStyle w:val="Znakapoznpodarou"/>
        </w:rPr>
        <w:footnoteRef/>
      </w:r>
      <w:r>
        <w:t xml:space="preserve"> Pramen: TRAMBA, D.: </w:t>
      </w:r>
      <w:r>
        <w:rPr>
          <w:i/>
        </w:rPr>
        <w:t xml:space="preserve">Praha bohatne, jiné kraje ne. </w:t>
      </w:r>
      <w:r>
        <w:t xml:space="preserve">LN, 15. 6. 2013 (upraveno). </w:t>
      </w:r>
    </w:p>
  </w:footnote>
  <w:footnote w:id="12">
    <w:p w:rsidR="006B0767" w:rsidRDefault="006B0767">
      <w:pPr>
        <w:pStyle w:val="Textpoznpodarou"/>
      </w:pPr>
      <w:r>
        <w:rPr>
          <w:rStyle w:val="Znakapoznpodarou"/>
        </w:rPr>
        <w:footnoteRef/>
      </w:r>
      <w:r>
        <w:t xml:space="preserve"> K roku 2011.</w:t>
      </w:r>
    </w:p>
  </w:footnote>
  <w:footnote w:id="13">
    <w:p w:rsidR="004878C2" w:rsidRDefault="004878C2">
      <w:pPr>
        <w:pStyle w:val="Textpoznpodarou"/>
      </w:pPr>
      <w:r>
        <w:rPr>
          <w:rStyle w:val="Znakapoznpodarou"/>
        </w:rPr>
        <w:footnoteRef/>
      </w:r>
      <w:r>
        <w:t xml:space="preserve"> Abstrahujeme od vlivu turistického ruchu.</w:t>
      </w:r>
    </w:p>
  </w:footnote>
  <w:footnote w:id="14">
    <w:p w:rsidR="00A33146" w:rsidRPr="007C6FCA" w:rsidRDefault="00A33146">
      <w:pPr>
        <w:pStyle w:val="Textpoznpodarou"/>
      </w:pPr>
      <w:r>
        <w:rPr>
          <w:rStyle w:val="Znakapoznpodarou"/>
        </w:rPr>
        <w:footnoteRef/>
      </w:r>
      <w:r>
        <w:t xml:space="preserve"> Centrum pro sociální a ekonomické strategie při Fakultě sociálních věd Univerzity Karlovy v</w:t>
      </w:r>
      <w:r w:rsidR="007C6FCA">
        <w:t> </w:t>
      </w:r>
      <w:r>
        <w:t>Praze</w:t>
      </w:r>
      <w:r w:rsidR="007C6FCA">
        <w:t xml:space="preserve"> – viz: POTŮČEK, M. a kol.: </w:t>
      </w:r>
      <w:r w:rsidR="007C6FCA">
        <w:rPr>
          <w:i/>
        </w:rPr>
        <w:t xml:space="preserve">Vize rozvoje České republiky do roku 2015. </w:t>
      </w:r>
      <w:r w:rsidR="007C6FCA">
        <w:t xml:space="preserve">Praha: </w:t>
      </w:r>
      <w:proofErr w:type="spellStart"/>
      <w:r w:rsidR="007C6FCA">
        <w:t>Gutenberg</w:t>
      </w:r>
      <w:proofErr w:type="spellEnd"/>
      <w:r w:rsidR="007C6FCA">
        <w:t>, 2001, s. 121 – 129, ISBN 80-86349-02-0.</w:t>
      </w:r>
    </w:p>
  </w:footnote>
  <w:footnote w:id="15">
    <w:p w:rsidR="007C6FCA" w:rsidRPr="007C6FCA" w:rsidRDefault="007C6FCA">
      <w:pPr>
        <w:pStyle w:val="Textpoznpodarou"/>
      </w:pPr>
      <w:r>
        <w:rPr>
          <w:rStyle w:val="Znakapoznpodarou"/>
        </w:rPr>
        <w:footnoteRef/>
      </w:r>
      <w:r>
        <w:t xml:space="preserve"> In: FRIEDLANDOVÁ, H., TUČEK, M.: </w:t>
      </w:r>
      <w:r>
        <w:rPr>
          <w:i/>
        </w:rPr>
        <w:t xml:space="preserve">Češi na prahu nového tisíciletí. </w:t>
      </w:r>
      <w:r>
        <w:t>Praha: SLON, 2000, s. 156, ISBN 80-902847-0-1.</w:t>
      </w:r>
    </w:p>
  </w:footnote>
  <w:footnote w:id="16">
    <w:p w:rsidR="00E80519" w:rsidRPr="00E80519" w:rsidRDefault="00E80519">
      <w:pPr>
        <w:pStyle w:val="Textpoznpodarou"/>
      </w:pPr>
      <w:r>
        <w:rPr>
          <w:rStyle w:val="Znakapoznpodarou"/>
        </w:rPr>
        <w:footnoteRef/>
      </w:r>
      <w:r>
        <w:t xml:space="preserve"> Srov. RAHNER, K., VORGRIMLER, H.: </w:t>
      </w:r>
      <w:r>
        <w:rPr>
          <w:i/>
        </w:rPr>
        <w:t xml:space="preserve">Teologický slovník. </w:t>
      </w:r>
      <w:r>
        <w:t>Praha: Zvon, 1996, s. 295, ISBN 80-7113-088-5.</w:t>
      </w:r>
    </w:p>
  </w:footnote>
  <w:footnote w:id="17">
    <w:p w:rsidR="006D33AF" w:rsidRDefault="006D33AF">
      <w:pPr>
        <w:pStyle w:val="Textpoznpodarou"/>
      </w:pPr>
      <w:r>
        <w:rPr>
          <w:rStyle w:val="Znakapoznpodarou"/>
        </w:rPr>
        <w:footnoteRef/>
      </w:r>
      <w:r>
        <w:t xml:space="preserve"> V rámci výzkumu „Evropský hodnotový systém“.</w:t>
      </w:r>
    </w:p>
  </w:footnote>
  <w:footnote w:id="18">
    <w:p w:rsidR="00C50FEA" w:rsidRPr="00C50FEA" w:rsidRDefault="00C50F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Bdí nad Čechy Bůh, bůh, anebo Nic? Zpráva o stavu církví, náboženství a víry v českých zemích deset let po pádu komunismu. </w:t>
      </w:r>
      <w:r>
        <w:t>LN, 16. 10. 1999.</w:t>
      </w:r>
    </w:p>
  </w:footnote>
  <w:footnote w:id="19">
    <w:p w:rsidR="006D33AF" w:rsidRDefault="006D33AF">
      <w:pPr>
        <w:pStyle w:val="Textpoznpodarou"/>
      </w:pPr>
      <w:r>
        <w:rPr>
          <w:rStyle w:val="Znakapoznpodarou"/>
        </w:rPr>
        <w:footnoteRef/>
      </w:r>
      <w:r>
        <w:t xml:space="preserve"> Středisko analýz a empirických výzkumů; internetový průzkum.</w:t>
      </w:r>
    </w:p>
  </w:footnote>
  <w:footnote w:id="20">
    <w:p w:rsidR="006D33AF" w:rsidRPr="006D33AF" w:rsidRDefault="006D33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V boha věří necelá čtvrtina Čechů, říká průzkum. </w:t>
      </w:r>
      <w:r>
        <w:t>LN, 5. 10. 2009.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768"/>
    <w:multiLevelType w:val="hybridMultilevel"/>
    <w:tmpl w:val="A7A02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177B4"/>
    <w:multiLevelType w:val="hybridMultilevel"/>
    <w:tmpl w:val="175A1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923D7"/>
    <w:multiLevelType w:val="hybridMultilevel"/>
    <w:tmpl w:val="74F8B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87539"/>
    <w:multiLevelType w:val="hybridMultilevel"/>
    <w:tmpl w:val="DD9EAF5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8A231DC"/>
    <w:multiLevelType w:val="hybridMultilevel"/>
    <w:tmpl w:val="ED4AE3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FE16C4D"/>
    <w:multiLevelType w:val="hybridMultilevel"/>
    <w:tmpl w:val="124C6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01186"/>
    <w:multiLevelType w:val="hybridMultilevel"/>
    <w:tmpl w:val="3D64B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D8"/>
    <w:rsid w:val="00006C4C"/>
    <w:rsid w:val="00024ED8"/>
    <w:rsid w:val="000847F1"/>
    <w:rsid w:val="00090AE1"/>
    <w:rsid w:val="000A7F6C"/>
    <w:rsid w:val="000D5CFE"/>
    <w:rsid w:val="000F4B32"/>
    <w:rsid w:val="0015496B"/>
    <w:rsid w:val="0016795D"/>
    <w:rsid w:val="001830B4"/>
    <w:rsid w:val="00186724"/>
    <w:rsid w:val="001A66B9"/>
    <w:rsid w:val="001D3EBC"/>
    <w:rsid w:val="002123CD"/>
    <w:rsid w:val="00217414"/>
    <w:rsid w:val="00247379"/>
    <w:rsid w:val="00284C76"/>
    <w:rsid w:val="00296DA0"/>
    <w:rsid w:val="002B737C"/>
    <w:rsid w:val="002B75B6"/>
    <w:rsid w:val="002D17A7"/>
    <w:rsid w:val="002E28CE"/>
    <w:rsid w:val="003147BF"/>
    <w:rsid w:val="00320360"/>
    <w:rsid w:val="003242B7"/>
    <w:rsid w:val="00325717"/>
    <w:rsid w:val="003341E2"/>
    <w:rsid w:val="00346EFB"/>
    <w:rsid w:val="00351612"/>
    <w:rsid w:val="003C7F2D"/>
    <w:rsid w:val="003D37A5"/>
    <w:rsid w:val="003E3899"/>
    <w:rsid w:val="003E76EE"/>
    <w:rsid w:val="003F7F94"/>
    <w:rsid w:val="0045608B"/>
    <w:rsid w:val="004878C2"/>
    <w:rsid w:val="004B1E4A"/>
    <w:rsid w:val="00510BA4"/>
    <w:rsid w:val="00511A41"/>
    <w:rsid w:val="005272E3"/>
    <w:rsid w:val="00565B5C"/>
    <w:rsid w:val="00582C91"/>
    <w:rsid w:val="005D3FD7"/>
    <w:rsid w:val="005F3A8B"/>
    <w:rsid w:val="005F5D7C"/>
    <w:rsid w:val="00621EAD"/>
    <w:rsid w:val="00626489"/>
    <w:rsid w:val="006567D2"/>
    <w:rsid w:val="0066073C"/>
    <w:rsid w:val="006A2D59"/>
    <w:rsid w:val="006A5C2E"/>
    <w:rsid w:val="006B0767"/>
    <w:rsid w:val="006C5B86"/>
    <w:rsid w:val="006C5FBD"/>
    <w:rsid w:val="006D29FA"/>
    <w:rsid w:val="006D33AF"/>
    <w:rsid w:val="006E77C4"/>
    <w:rsid w:val="006F0FB3"/>
    <w:rsid w:val="00717429"/>
    <w:rsid w:val="00730F2B"/>
    <w:rsid w:val="0074009A"/>
    <w:rsid w:val="00743AC2"/>
    <w:rsid w:val="007564F2"/>
    <w:rsid w:val="00763332"/>
    <w:rsid w:val="007C3E41"/>
    <w:rsid w:val="007C6169"/>
    <w:rsid w:val="007C6FCA"/>
    <w:rsid w:val="00813F6C"/>
    <w:rsid w:val="00815C21"/>
    <w:rsid w:val="008578AA"/>
    <w:rsid w:val="008D2A72"/>
    <w:rsid w:val="008E2629"/>
    <w:rsid w:val="008F64D6"/>
    <w:rsid w:val="008F65CE"/>
    <w:rsid w:val="00937E05"/>
    <w:rsid w:val="00941E35"/>
    <w:rsid w:val="00972AD9"/>
    <w:rsid w:val="00972B8F"/>
    <w:rsid w:val="009B0613"/>
    <w:rsid w:val="009F0F1B"/>
    <w:rsid w:val="00A15654"/>
    <w:rsid w:val="00A33146"/>
    <w:rsid w:val="00A46D18"/>
    <w:rsid w:val="00A515C1"/>
    <w:rsid w:val="00A90968"/>
    <w:rsid w:val="00AC4C6B"/>
    <w:rsid w:val="00AC52AC"/>
    <w:rsid w:val="00AE039B"/>
    <w:rsid w:val="00AE6101"/>
    <w:rsid w:val="00AF6C7E"/>
    <w:rsid w:val="00B04267"/>
    <w:rsid w:val="00B21C59"/>
    <w:rsid w:val="00B5633B"/>
    <w:rsid w:val="00B70A8C"/>
    <w:rsid w:val="00B809FC"/>
    <w:rsid w:val="00B90030"/>
    <w:rsid w:val="00BD0B3F"/>
    <w:rsid w:val="00BF1C99"/>
    <w:rsid w:val="00C0137F"/>
    <w:rsid w:val="00C05177"/>
    <w:rsid w:val="00C06A4A"/>
    <w:rsid w:val="00C3575A"/>
    <w:rsid w:val="00C37F17"/>
    <w:rsid w:val="00C50FEA"/>
    <w:rsid w:val="00C53A66"/>
    <w:rsid w:val="00C5664F"/>
    <w:rsid w:val="00C64003"/>
    <w:rsid w:val="00C80A07"/>
    <w:rsid w:val="00C94730"/>
    <w:rsid w:val="00CA7DAC"/>
    <w:rsid w:val="00D117F1"/>
    <w:rsid w:val="00D15882"/>
    <w:rsid w:val="00D268E0"/>
    <w:rsid w:val="00D36768"/>
    <w:rsid w:val="00D43BA0"/>
    <w:rsid w:val="00D5009B"/>
    <w:rsid w:val="00D7660A"/>
    <w:rsid w:val="00D85428"/>
    <w:rsid w:val="00DD01B7"/>
    <w:rsid w:val="00DF0456"/>
    <w:rsid w:val="00E0560B"/>
    <w:rsid w:val="00E80519"/>
    <w:rsid w:val="00EF61EA"/>
    <w:rsid w:val="00F068A1"/>
    <w:rsid w:val="00F540F3"/>
    <w:rsid w:val="00F817EE"/>
    <w:rsid w:val="00F860CD"/>
    <w:rsid w:val="00F87AA2"/>
    <w:rsid w:val="00FB36FF"/>
    <w:rsid w:val="00FC5F77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3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3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137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3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3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137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76DF-D5C0-4325-B69F-C6B027E2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2197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2013-09-18T20:31:00Z</dcterms:created>
  <dcterms:modified xsi:type="dcterms:W3CDTF">2013-09-20T08:51:00Z</dcterms:modified>
</cp:coreProperties>
</file>