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361B" w:rsidRDefault="0000361B">
      <w:pPr>
        <w:jc w:val="both"/>
      </w:pPr>
    </w:p>
    <w:p w:rsidR="0000361B" w:rsidRDefault="0000361B" w:rsidP="008F059E">
      <w:pPr>
        <w:pStyle w:val="Heading3"/>
        <w:rPr>
          <w:rFonts w:ascii="Calibri" w:hAnsi="Calibri"/>
          <w:color w:val="808080"/>
          <w:sz w:val="32"/>
          <w:szCs w:val="32"/>
        </w:rPr>
      </w:pPr>
      <w:bookmarkStart w:id="0" w:name="OLE_LINK1"/>
      <w:bookmarkStart w:id="1" w:name="OLE_LINK2"/>
      <w:bookmarkEnd w:id="0"/>
      <w:bookmarkEnd w:id="1"/>
      <w:r>
        <w:rPr>
          <w:rFonts w:ascii="Calibri" w:hAnsi="Calibri"/>
          <w:color w:val="808080"/>
          <w:sz w:val="32"/>
          <w:szCs w:val="32"/>
        </w:rPr>
        <w:t>TISKOVÁ ZPRÁVA</w:t>
      </w:r>
    </w:p>
    <w:p w:rsidR="0000361B" w:rsidRPr="0044635D" w:rsidRDefault="0000361B" w:rsidP="0044635D"/>
    <w:p w:rsidR="0000361B" w:rsidRPr="00B9384D" w:rsidRDefault="0000361B" w:rsidP="00245572">
      <w:pPr>
        <w:jc w:val="both"/>
        <w:rPr>
          <w:rFonts w:ascii="Calibri" w:hAnsi="Calibri" w:cs="Calibri"/>
          <w:b/>
          <w:bCs/>
          <w:color w:val="808080"/>
          <w:sz w:val="32"/>
          <w:szCs w:val="32"/>
          <w:lang w:eastAsia="cs-CZ"/>
        </w:rPr>
      </w:pPr>
      <w:r w:rsidRPr="00B9384D">
        <w:rPr>
          <w:rFonts w:ascii="Calibri" w:hAnsi="Calibri" w:cs="Calibri"/>
          <w:b/>
          <w:bCs/>
          <w:color w:val="808080"/>
          <w:sz w:val="32"/>
          <w:szCs w:val="32"/>
        </w:rPr>
        <w:t xml:space="preserve">Zámek ve Světlé nad Sázavou a </w:t>
      </w:r>
      <w:r w:rsidRPr="00B9384D">
        <w:rPr>
          <w:rFonts w:ascii="Calibri" w:hAnsi="Calibri"/>
          <w:b/>
          <w:color w:val="808080"/>
          <w:sz w:val="32"/>
          <w:szCs w:val="32"/>
        </w:rPr>
        <w:t>archeologický odkryv základů rotundy v Tasově</w:t>
      </w:r>
      <w:r w:rsidRPr="00B9384D">
        <w:rPr>
          <w:rFonts w:ascii="Calibri" w:hAnsi="Calibri" w:cs="Calibri"/>
          <w:b/>
          <w:bCs/>
          <w:color w:val="808080"/>
          <w:sz w:val="32"/>
          <w:szCs w:val="32"/>
        </w:rPr>
        <w:t xml:space="preserve"> jsou nominovány na Cenu NPÚ Patrimonium pro </w:t>
      </w:r>
      <w:r>
        <w:rPr>
          <w:rFonts w:ascii="Calibri" w:hAnsi="Calibri" w:cs="Calibri"/>
          <w:b/>
          <w:bCs/>
          <w:color w:val="808080"/>
          <w:sz w:val="32"/>
          <w:szCs w:val="32"/>
        </w:rPr>
        <w:t>f</w:t>
      </w:r>
      <w:r w:rsidRPr="00B9384D">
        <w:rPr>
          <w:rFonts w:ascii="Calibri" w:hAnsi="Calibri" w:cs="Calibri"/>
          <w:b/>
          <w:bCs/>
          <w:color w:val="808080"/>
          <w:sz w:val="32"/>
          <w:szCs w:val="32"/>
        </w:rPr>
        <w:t>uturo</w:t>
      </w:r>
    </w:p>
    <w:p w:rsidR="0000361B" w:rsidRPr="00B737DE" w:rsidRDefault="0000361B" w:rsidP="00B76BCC">
      <w:pPr>
        <w:rPr>
          <w:rFonts w:ascii="Calibri" w:hAnsi="Calibri" w:cs="Arial"/>
          <w:sz w:val="24"/>
          <w:szCs w:val="24"/>
          <w:lang w:eastAsia="cs-CZ"/>
        </w:rPr>
      </w:pPr>
    </w:p>
    <w:p w:rsidR="0000361B" w:rsidRPr="00B737DE" w:rsidRDefault="0000361B" w:rsidP="00972FE1">
      <w:pPr>
        <w:pBdr>
          <w:bottom w:val="single" w:sz="4" w:space="1" w:color="000000"/>
        </w:pBdr>
        <w:autoSpaceDE w:val="0"/>
        <w:rPr>
          <w:rFonts w:ascii="Calibri" w:hAnsi="Calibri" w:cs="Arial"/>
          <w:b/>
          <w:bCs/>
        </w:rPr>
      </w:pPr>
      <w:r w:rsidRPr="00B737DE">
        <w:rPr>
          <w:rFonts w:ascii="Calibri" w:hAnsi="Calibri" w:cs="Arial"/>
          <w:b/>
          <w:bCs/>
        </w:rPr>
        <w:t>Telč,</w:t>
      </w:r>
      <w:r>
        <w:rPr>
          <w:rFonts w:ascii="Calibri" w:hAnsi="Calibri" w:cs="Arial"/>
          <w:b/>
          <w:bCs/>
        </w:rPr>
        <w:t xml:space="preserve"> 14. dubna </w:t>
      </w:r>
      <w:r w:rsidRPr="00B737DE">
        <w:rPr>
          <w:rFonts w:ascii="Calibri" w:hAnsi="Calibri" w:cs="Arial"/>
          <w:b/>
          <w:bCs/>
        </w:rPr>
        <w:t>201</w:t>
      </w:r>
      <w:r>
        <w:rPr>
          <w:rFonts w:ascii="Calibri" w:hAnsi="Calibri" w:cs="Arial"/>
          <w:b/>
          <w:bCs/>
        </w:rPr>
        <w:t>5</w:t>
      </w:r>
    </w:p>
    <w:p w:rsidR="0000361B" w:rsidRDefault="0000361B" w:rsidP="00B76BCC">
      <w:pPr>
        <w:rPr>
          <w:rFonts w:ascii="Calibri" w:hAnsi="Calibri"/>
          <w:sz w:val="24"/>
          <w:szCs w:val="24"/>
        </w:rPr>
      </w:pPr>
    </w:p>
    <w:p w:rsidR="0000361B" w:rsidRPr="009E4F2D" w:rsidRDefault="0000361B" w:rsidP="00AF0075">
      <w:pPr>
        <w:pStyle w:val="NormalWeb"/>
        <w:spacing w:after="0"/>
        <w:jc w:val="both"/>
        <w:rPr>
          <w:rFonts w:ascii="Calibri" w:hAnsi="Calibri"/>
        </w:rPr>
      </w:pPr>
      <w:r w:rsidRPr="009E4F2D">
        <w:rPr>
          <w:rFonts w:ascii="Calibri" w:hAnsi="Calibri"/>
        </w:rPr>
        <w:t>Záchrana zámku ve Světlé nad Sázavou byla nominována za Kraj Vysočina na Cenu NPÚ Patrimonium pro futuro. Druhým uchazečem o ocenění je archeologický odkryv základů rotundy v Tasově a významný nález suterénní šlechtické pohřební kaple s ostatky v</w:t>
      </w:r>
      <w:r w:rsidRPr="009E4F2D">
        <w:rPr>
          <w:rFonts w:ascii="Constantia" w:hAnsi="Constantia"/>
        </w:rPr>
        <w:t> </w:t>
      </w:r>
      <w:r w:rsidRPr="009E4F2D">
        <w:rPr>
          <w:rFonts w:ascii="Calibri" w:hAnsi="Calibri"/>
        </w:rPr>
        <w:t>průběhu archeologických prací.</w:t>
      </w:r>
    </w:p>
    <w:p w:rsidR="0000361B" w:rsidRPr="009E4F2D" w:rsidRDefault="0000361B" w:rsidP="00AF0075">
      <w:pPr>
        <w:pStyle w:val="NormalWeb"/>
        <w:spacing w:after="0"/>
        <w:jc w:val="both"/>
        <w:rPr>
          <w:rFonts w:ascii="Calibri" w:hAnsi="Calibri"/>
          <w:bCs/>
        </w:rPr>
      </w:pPr>
      <w:r w:rsidRPr="009E4F2D">
        <w:rPr>
          <w:rFonts w:ascii="Calibri" w:hAnsi="Calibri"/>
        </w:rPr>
        <w:t xml:space="preserve">V prostorách zámku ve Světlé nad Sázavou, v němž se snoubí prvky renesance, baroka, empíru a novorenesance, byla od roku 1949 do roku 2011 umístěna střední zemědělská škola. Stav zámeckého komplexu byl trvale poškozen novodobými dispoziční úpravami a negativními zásahy do původních konstrukcí a interiérů. </w:t>
      </w:r>
      <w:r w:rsidRPr="009E4F2D">
        <w:rPr>
          <w:rFonts w:ascii="Calibri" w:hAnsi="Calibri"/>
          <w:bCs/>
        </w:rPr>
        <w:t>V roce 2013 zámek změnil majitele, který okamžitě začal s opravami a rehabilitací zámku, jejichž cílem bylo na</w:t>
      </w:r>
      <w:r w:rsidRPr="009E4F2D">
        <w:rPr>
          <w:rFonts w:ascii="Calibri" w:hAnsi="Calibri"/>
        </w:rPr>
        <w:t>vrátit budově původní vzhled a nově ji využívat jako kulturní prostor se zámeckými okruhy</w:t>
      </w:r>
      <w:r w:rsidRPr="009E4F2D">
        <w:rPr>
          <w:rFonts w:ascii="Calibri" w:hAnsi="Calibri"/>
          <w:bCs/>
        </w:rPr>
        <w:t>. Odborná komise územního odborného pracoviště NPÚ v Telči tento záslužný čin majitelů zámku ocenila a nominovala jej v kategorii záchrana památky na Cenu NPÚ Patrimonium pro futuro.</w:t>
      </w:r>
    </w:p>
    <w:p w:rsidR="0000361B" w:rsidRPr="009E4F2D" w:rsidRDefault="0000361B" w:rsidP="00486EA7">
      <w:pPr>
        <w:jc w:val="both"/>
        <w:rPr>
          <w:rFonts w:ascii="Calibri" w:hAnsi="Calibri"/>
          <w:sz w:val="24"/>
          <w:szCs w:val="24"/>
          <w:lang w:eastAsia="en-US"/>
        </w:rPr>
      </w:pPr>
      <w:r w:rsidRPr="009E4F2D">
        <w:rPr>
          <w:rFonts w:ascii="Calibri" w:hAnsi="Calibri"/>
          <w:bCs/>
          <w:sz w:val="24"/>
          <w:szCs w:val="24"/>
        </w:rPr>
        <w:t xml:space="preserve">Druhým uchazečem o ocenění Národního památkového ústavu je </w:t>
      </w:r>
      <w:r w:rsidRPr="009E4F2D">
        <w:rPr>
          <w:rFonts w:ascii="Calibri" w:hAnsi="Calibri"/>
          <w:sz w:val="24"/>
          <w:szCs w:val="24"/>
        </w:rPr>
        <w:t>archeologický odkryv základů rotundy v Tasově (okres Žďár nad Sázavou), který vedl prof. PhDr. Josef Unger, CSc. a výrazně se na něm podílel rovněž páter Mgr. Pavel Kryl. Tento objev potvrzoval dříve vyslovené domněnky založené na písemných pramenech, že dnešní fara v sobě stavebně skrývá původní kostelík a vznikla jeho přestavbou. Jde o doklad historicky nejstarší památky místního regionu z 1. čtvrtiny 13. století. V průběhu archeologických prací byl při jihovýchodní straně fary objeven další pro naše prostředí zcela ojedinělý nález a to přístavek suterénní šlechtické pohřební kaple zasvěcené sv. Jiří se dvěma hroby s mužskými kosterními pozůstatky. Průzkum začal v roce 2007 a ukončen byl v roce 2013</w:t>
      </w:r>
      <w:r>
        <w:rPr>
          <w:rFonts w:ascii="Calibri" w:hAnsi="Calibri"/>
          <w:sz w:val="24"/>
          <w:szCs w:val="24"/>
        </w:rPr>
        <w:t>, s</w:t>
      </w:r>
      <w:r w:rsidRPr="009E4F2D">
        <w:rPr>
          <w:rFonts w:ascii="Calibri" w:hAnsi="Calibri"/>
          <w:sz w:val="24"/>
          <w:szCs w:val="24"/>
        </w:rPr>
        <w:t>ouhrn</w:t>
      </w:r>
      <w:r>
        <w:rPr>
          <w:rFonts w:ascii="Calibri" w:hAnsi="Calibri"/>
          <w:sz w:val="24"/>
          <w:szCs w:val="24"/>
        </w:rPr>
        <w:t>n</w:t>
      </w:r>
      <w:r w:rsidRPr="009E4F2D">
        <w:rPr>
          <w:rFonts w:ascii="Calibri" w:hAnsi="Calibri"/>
          <w:sz w:val="24"/>
          <w:szCs w:val="24"/>
        </w:rPr>
        <w:t xml:space="preserve">á nálezová zpráva byla vydána v roce 2014. </w:t>
      </w:r>
      <w:r w:rsidRPr="009E4F2D">
        <w:rPr>
          <w:rFonts w:ascii="Constantia" w:hAnsi="Constantia"/>
          <w:sz w:val="24"/>
          <w:szCs w:val="24"/>
        </w:rPr>
        <w:t xml:space="preserve"> </w:t>
      </w:r>
      <w:r w:rsidRPr="009E4F2D">
        <w:rPr>
          <w:rFonts w:ascii="Calibri" w:hAnsi="Calibri"/>
          <w:sz w:val="24"/>
          <w:szCs w:val="24"/>
        </w:rPr>
        <w:t xml:space="preserve">Archeologický odkryv základů rotundy v Tasově a nález suterénní šlechtické pohřební kaple s ostatky byly nominovány </w:t>
      </w:r>
      <w:r w:rsidRPr="009E4F2D">
        <w:rPr>
          <w:rFonts w:ascii="Calibri" w:hAnsi="Calibri"/>
          <w:bCs/>
          <w:sz w:val="24"/>
          <w:szCs w:val="24"/>
        </w:rPr>
        <w:t>na Cenu NPÚ Patrimonium pro futuro v kategorii objev, nález roku.</w:t>
      </w:r>
    </w:p>
    <w:p w:rsidR="0000361B" w:rsidRPr="00FA3C85" w:rsidRDefault="0000361B" w:rsidP="00AF0075">
      <w:pPr>
        <w:pStyle w:val="NormalWeb"/>
        <w:spacing w:after="0"/>
        <w:jc w:val="both"/>
        <w:rPr>
          <w:rFonts w:ascii="Calibri" w:hAnsi="Calibri"/>
          <w:bCs/>
        </w:rPr>
      </w:pPr>
    </w:p>
    <w:p w:rsidR="0000361B" w:rsidRDefault="0000361B" w:rsidP="00F03169">
      <w:pPr>
        <w:jc w:val="both"/>
        <w:rPr>
          <w:rFonts w:ascii="Calibri" w:hAnsi="Calibri" w:cs="Calibri"/>
          <w:bCs/>
          <w:iCs/>
          <w:sz w:val="22"/>
          <w:szCs w:val="22"/>
          <w:lang w:eastAsia="en-US"/>
        </w:rPr>
      </w:pPr>
      <w:r w:rsidRPr="00FA3C85">
        <w:rPr>
          <w:rFonts w:ascii="Calibri" w:hAnsi="Calibri" w:cs="Calibri"/>
          <w:bCs/>
          <w:iCs/>
          <w:sz w:val="22"/>
          <w:szCs w:val="22"/>
          <w:lang w:eastAsia="en-US"/>
        </w:rPr>
        <w:t xml:space="preserve">Cenu Národního památkového ústavu Patrimonium pro futuro s podtitulem Společenské ocenění příkladů dobré praxe vyhlašuje Národní památkový ústav letos druhým rokem. Smyslem ceny je upozornit na pozitivní příklady a příběhy v oblasti památkové péče, ukázat, co se povedlo, a ocenit ty, kteří se o to zasloužili. </w:t>
      </w:r>
    </w:p>
    <w:p w:rsidR="0000361B" w:rsidRPr="002F2995" w:rsidRDefault="0000361B" w:rsidP="00F03169">
      <w:pPr>
        <w:jc w:val="both"/>
        <w:rPr>
          <w:rFonts w:ascii="Calibri" w:hAnsi="Calibri" w:cs="Calibri"/>
          <w:lang w:eastAsia="cs-CZ"/>
        </w:rPr>
      </w:pPr>
      <w:r w:rsidRPr="00FA3C85">
        <w:rPr>
          <w:rFonts w:ascii="Calibri" w:hAnsi="Calibri" w:cs="Calibri"/>
          <w:bCs/>
          <w:iCs/>
          <w:sz w:val="22"/>
          <w:szCs w:val="22"/>
          <w:lang w:eastAsia="en-US"/>
        </w:rPr>
        <w:t>Komise odborníků, která z řady akcí dokončených v roce 2014 v Kraji Vysočina vybrala dvě nejzajímavější a jako vítěze krajského kola je nominovala do celostátního kola ceny NPÚ</w:t>
      </w:r>
      <w:r>
        <w:rPr>
          <w:rFonts w:ascii="Calibri" w:hAnsi="Calibri" w:cs="Calibri"/>
          <w:bCs/>
          <w:iCs/>
          <w:sz w:val="22"/>
          <w:szCs w:val="22"/>
          <w:lang w:eastAsia="en-US"/>
        </w:rPr>
        <w:t xml:space="preserve">, zasedala na územním odborném pracovišti v Telči </w:t>
      </w:r>
      <w:r w:rsidRPr="009E4F2D">
        <w:rPr>
          <w:rFonts w:ascii="Calibri" w:hAnsi="Calibri" w:cs="Calibri"/>
          <w:bCs/>
          <w:iCs/>
          <w:sz w:val="22"/>
          <w:szCs w:val="22"/>
          <w:lang w:eastAsia="en-US"/>
        </w:rPr>
        <w:t>koncem března t.</w:t>
      </w:r>
      <w:r>
        <w:rPr>
          <w:rFonts w:ascii="Calibri" w:hAnsi="Calibri" w:cs="Calibri"/>
          <w:bCs/>
          <w:iCs/>
          <w:sz w:val="22"/>
          <w:szCs w:val="22"/>
          <w:lang w:eastAsia="en-US"/>
        </w:rPr>
        <w:t xml:space="preserve"> </w:t>
      </w:r>
      <w:r w:rsidRPr="009E4F2D">
        <w:rPr>
          <w:rFonts w:ascii="Calibri" w:hAnsi="Calibri" w:cs="Calibri"/>
          <w:bCs/>
          <w:iCs/>
          <w:sz w:val="22"/>
          <w:szCs w:val="22"/>
          <w:lang w:eastAsia="en-US"/>
        </w:rPr>
        <w:t>r.</w:t>
      </w:r>
      <w:r>
        <w:rPr>
          <w:rFonts w:ascii="Calibri" w:hAnsi="Calibri" w:cs="Calibri"/>
          <w:bCs/>
          <w:iCs/>
          <w:sz w:val="22"/>
          <w:szCs w:val="22"/>
          <w:lang w:eastAsia="en-US"/>
        </w:rPr>
        <w:t xml:space="preserve"> </w:t>
      </w:r>
      <w:bookmarkStart w:id="2" w:name="_GoBack"/>
      <w:bookmarkEnd w:id="2"/>
      <w:r w:rsidRPr="002F2995">
        <w:rPr>
          <w:rFonts w:ascii="Calibri" w:hAnsi="Calibri" w:cs="Calibri"/>
          <w:bCs/>
          <w:iCs/>
          <w:sz w:val="22"/>
          <w:szCs w:val="22"/>
          <w:lang w:eastAsia="en-US"/>
        </w:rPr>
        <w:t>Komise na každém ze čtrnácti územních odborných pracovišť NPÚ vyberou do konce dubna krajské vítěze a nominují je na celostátní ocenění v jedné ze čtyř kategorií (obnova památky, restaurování; objev, nález roku; prezentace hodnot; záchrana památky).</w:t>
      </w:r>
    </w:p>
    <w:p w:rsidR="0000361B" w:rsidRPr="00FA3C85" w:rsidRDefault="0000361B" w:rsidP="00F03169">
      <w:pPr>
        <w:jc w:val="both"/>
        <w:rPr>
          <w:rFonts w:ascii="Calibri" w:hAnsi="Calibri" w:cs="Calibri"/>
          <w:bCs/>
          <w:sz w:val="22"/>
          <w:szCs w:val="22"/>
        </w:rPr>
      </w:pPr>
      <w:r w:rsidRPr="00FA3C85">
        <w:rPr>
          <w:rFonts w:ascii="Calibri" w:hAnsi="Calibri" w:cs="Calibri"/>
          <w:bCs/>
          <w:sz w:val="22"/>
          <w:szCs w:val="22"/>
        </w:rPr>
        <w:t>Celostátní hodnocení bude probíhat v několika fázích; členové odborné komise nejprve vypracují k</w:t>
      </w:r>
      <w:r w:rsidRPr="00FA3C85">
        <w:rPr>
          <w:rFonts w:ascii="Calibri" w:hAnsi="Calibri" w:cs="Calibri"/>
          <w:bCs/>
          <w:iCs/>
          <w:sz w:val="22"/>
          <w:szCs w:val="22"/>
          <w:lang w:eastAsia="en-US"/>
        </w:rPr>
        <w:t> </w:t>
      </w:r>
      <w:r w:rsidRPr="00FA3C85">
        <w:rPr>
          <w:rFonts w:ascii="Calibri" w:hAnsi="Calibri" w:cs="Calibri"/>
          <w:bCs/>
          <w:sz w:val="22"/>
          <w:szCs w:val="22"/>
        </w:rPr>
        <w:t>nominacím expertní posudky, s nimiž se navzájem seznámí. Ve druhé fázi se členové komise sejdou na společném zasedání, na němž projednají a prodiskutují význam jednotlivých akcí a na základě hlasování navrhnou vítěze každé ze čtyř kategorií. Ve třetím kole budou návrhy komise předloženy a projednány s generální ředitelkou Národního památkového ústavu Naďou Goryczkovou. S výsledky hodnocení se veřejnost seznámí v září letošního roku při slavnostním vyhlášení a předání cen v kostele sv. Floriána v Krásném Březně u Ústí nad Labem.</w:t>
      </w:r>
    </w:p>
    <w:p w:rsidR="0000361B" w:rsidRPr="00FA3C85" w:rsidRDefault="0000361B" w:rsidP="00F03169">
      <w:pPr>
        <w:jc w:val="both"/>
        <w:rPr>
          <w:rFonts w:ascii="Calibri" w:hAnsi="Calibri" w:cs="Calibri"/>
          <w:bCs/>
          <w:sz w:val="22"/>
          <w:szCs w:val="22"/>
        </w:rPr>
      </w:pPr>
      <w:r w:rsidRPr="00FA3C85">
        <w:rPr>
          <w:rFonts w:ascii="Calibri" w:hAnsi="Calibri" w:cs="Calibri"/>
          <w:bCs/>
          <w:sz w:val="22"/>
          <w:szCs w:val="22"/>
        </w:rPr>
        <w:t xml:space="preserve">Své favority však letos může podpořit i veřejnost; v letních měsících budou lidé moci hlasovat ve veřejné anketě. Na základě výsledků hlasování bude při slavnostním vyhlášení a předávání Cen NPÚ Patrimonium pro futuro udělena i cena veřejnosti. Obě nominace za </w:t>
      </w:r>
      <w:r w:rsidRPr="00603BF8">
        <w:rPr>
          <w:rFonts w:ascii="Calibri" w:hAnsi="Calibri" w:cs="Calibri"/>
          <w:bCs/>
          <w:sz w:val="22"/>
          <w:szCs w:val="22"/>
        </w:rPr>
        <w:t>Kraj Vysočina</w:t>
      </w:r>
      <w:r w:rsidRPr="00FA3C85">
        <w:rPr>
          <w:rFonts w:ascii="Calibri" w:hAnsi="Calibri" w:cs="Calibri"/>
          <w:bCs/>
          <w:sz w:val="22"/>
          <w:szCs w:val="22"/>
        </w:rPr>
        <w:t xml:space="preserve"> i jejich „soupeře“ z ostatních krajů proto  v následujících měsících blíže představíme.</w:t>
      </w:r>
    </w:p>
    <w:p w:rsidR="0000361B" w:rsidRPr="00FA3C85" w:rsidRDefault="0000361B" w:rsidP="007A3697">
      <w:pPr>
        <w:pStyle w:val="NormalWeb"/>
        <w:jc w:val="both"/>
        <w:rPr>
          <w:rFonts w:ascii="Calibri" w:hAnsi="Calibri" w:cs="Arial"/>
          <w:lang w:eastAsia="cs-CZ"/>
        </w:rPr>
      </w:pPr>
      <w:r w:rsidRPr="00FA3C85">
        <w:rPr>
          <w:rFonts w:ascii="Calibri" w:hAnsi="Calibri" w:cs="Arial"/>
          <w:lang w:eastAsia="cs-CZ"/>
        </w:rPr>
        <w:t>_______________________________________________________________________________</w:t>
      </w:r>
    </w:p>
    <w:p w:rsidR="0000361B" w:rsidRPr="00FA3C85" w:rsidRDefault="0000361B" w:rsidP="00D473BA">
      <w:pPr>
        <w:pStyle w:val="bgcolor"/>
        <w:spacing w:before="0" w:beforeAutospacing="0" w:after="0" w:afterAutospacing="0"/>
        <w:jc w:val="both"/>
        <w:rPr>
          <w:rStyle w:val="textsmaller"/>
          <w:rFonts w:ascii="Calibri" w:hAnsi="Calibri"/>
          <w:sz w:val="22"/>
          <w:szCs w:val="22"/>
        </w:rPr>
      </w:pPr>
      <w:r w:rsidRPr="00FA3C85">
        <w:rPr>
          <w:rStyle w:val="Strong"/>
          <w:rFonts w:ascii="Calibri" w:hAnsi="Calibri"/>
          <w:b w:val="0"/>
          <w:bCs/>
          <w:sz w:val="22"/>
          <w:szCs w:val="22"/>
        </w:rPr>
        <w:t>Národní památkový ústav, územní odborné pracoviště v Telči, je jedním ze čtrnácti krajských pracovišť NPÚ. Jeho úkolem je naplňovat v Kraji Vysočina poslání odborné instituce památkové péče dané zákonem o státní památkové péči, např.</w:t>
      </w:r>
      <w:r w:rsidRPr="00FA3C85">
        <w:rPr>
          <w:rStyle w:val="Strong"/>
          <w:rFonts w:ascii="Calibri" w:hAnsi="Calibri"/>
          <w:sz w:val="22"/>
          <w:szCs w:val="22"/>
        </w:rPr>
        <w:t xml:space="preserve"> </w:t>
      </w:r>
      <w:r w:rsidRPr="00FA3C85">
        <w:rPr>
          <w:rStyle w:val="textsmaller"/>
          <w:rFonts w:ascii="Calibri" w:hAnsi="Calibri"/>
          <w:sz w:val="22"/>
          <w:szCs w:val="22"/>
        </w:rPr>
        <w:t xml:space="preserve">zpracovávat odborné podklady pro rozhodnutí výkonných orgánů, poskytovat konzultace a </w:t>
      </w:r>
      <w:r w:rsidRPr="00FA3C85">
        <w:rPr>
          <w:rFonts w:ascii="Calibri" w:hAnsi="Calibri"/>
          <w:sz w:val="22"/>
          <w:szCs w:val="22"/>
        </w:rPr>
        <w:t xml:space="preserve">odbornou pomoc vlastníkům kulturních památek </w:t>
      </w:r>
      <w:r w:rsidRPr="00FA3C85">
        <w:rPr>
          <w:rStyle w:val="textsmaller"/>
          <w:rFonts w:ascii="Calibri" w:hAnsi="Calibri"/>
          <w:sz w:val="22"/>
          <w:szCs w:val="22"/>
        </w:rPr>
        <w:t xml:space="preserve">při jejich obnovách a sledovat stav památkového fondu na území kraje. Pracoviště v Telči také zpracovává návrhy na prohlašování věcí či objektů za kulturní památky a podílí se následně na jejich evidenci. Spravuje dokumentační sbírky plánů, fotografií a dalších odborných podkladů ke kulturním památkám, vede veřejně přístupnou knihovnu, vydává sborník Památky Vysočiny, organizuje cyklus přednášek Rodinné stříbro – Památky kolem nás a provádí archeologické průzkumy. </w:t>
      </w:r>
    </w:p>
    <w:p w:rsidR="0000361B" w:rsidRPr="00FA3C85" w:rsidRDefault="0000361B" w:rsidP="00D473BA">
      <w:pPr>
        <w:pStyle w:val="bgcolor"/>
        <w:spacing w:before="0" w:beforeAutospacing="0" w:after="0" w:afterAutospacing="0"/>
        <w:jc w:val="both"/>
        <w:rPr>
          <w:rFonts w:ascii="Calibri" w:hAnsi="Calibri"/>
        </w:rPr>
      </w:pPr>
      <w:r w:rsidRPr="00FA3C85">
        <w:rPr>
          <w:rStyle w:val="textsmaller"/>
          <w:rFonts w:ascii="Calibri" w:hAnsi="Calibri"/>
          <w:sz w:val="22"/>
          <w:szCs w:val="22"/>
        </w:rPr>
        <w:t>Od 1. ledna 2015 působí při ÚOP v Telči Metodické centrum pro vzdělávání, které se zaměřuje na tvorbu edukačních programů a vzdělávání v památkové péči</w:t>
      </w:r>
      <w:r w:rsidRPr="00FA3C85">
        <w:rPr>
          <w:rFonts w:ascii="Calibri" w:hAnsi="Calibri" w:cs="Helvetica"/>
          <w:sz w:val="22"/>
          <w:szCs w:val="22"/>
        </w:rPr>
        <w:t>.</w:t>
      </w:r>
      <w:r w:rsidRPr="00FA3C85">
        <w:rPr>
          <w:rStyle w:val="textsmaller"/>
          <w:rFonts w:ascii="Calibri" w:hAnsi="Calibri"/>
          <w:sz w:val="22"/>
          <w:szCs w:val="22"/>
        </w:rPr>
        <w:t xml:space="preserve"> </w:t>
      </w:r>
      <w:r w:rsidRPr="00FA3C85">
        <w:rPr>
          <w:rFonts w:ascii="Calibri" w:hAnsi="Calibri"/>
          <w:sz w:val="22"/>
          <w:szCs w:val="22"/>
        </w:rPr>
        <w:t xml:space="preserve">Další informace najdete na </w:t>
      </w:r>
      <w:hyperlink r:id="rId7" w:history="1">
        <w:r w:rsidRPr="00FA3C85">
          <w:rPr>
            <w:rStyle w:val="Hyperlink"/>
            <w:rFonts w:ascii="Calibri" w:hAnsi="Calibri"/>
            <w:sz w:val="22"/>
            <w:szCs w:val="22"/>
          </w:rPr>
          <w:t>www.npu-telc.cz</w:t>
        </w:r>
      </w:hyperlink>
      <w:r w:rsidRPr="00FA3C85">
        <w:rPr>
          <w:rFonts w:ascii="Calibri" w:hAnsi="Calibri"/>
          <w:sz w:val="22"/>
          <w:szCs w:val="22"/>
        </w:rPr>
        <w:t>.</w:t>
      </w:r>
    </w:p>
    <w:p w:rsidR="0000361B" w:rsidRPr="00DC52D3" w:rsidRDefault="0000361B" w:rsidP="00972FE1">
      <w:pPr>
        <w:rPr>
          <w:rFonts w:ascii="Calibri" w:hAnsi="Calibri" w:cs="Arial"/>
          <w:sz w:val="24"/>
          <w:szCs w:val="24"/>
          <w:lang w:eastAsia="cs-CZ"/>
        </w:rPr>
      </w:pPr>
      <w:r w:rsidRPr="00DC52D3">
        <w:rPr>
          <w:rFonts w:ascii="Calibri" w:hAnsi="Calibri" w:cs="Arial"/>
          <w:sz w:val="24"/>
          <w:szCs w:val="24"/>
          <w:lang w:eastAsia="cs-CZ"/>
        </w:rPr>
        <w:t>________________________________________________________________________________</w:t>
      </w:r>
    </w:p>
    <w:p w:rsidR="0000361B" w:rsidRPr="00B737DE" w:rsidRDefault="0000361B" w:rsidP="00972FE1">
      <w:pPr>
        <w:pStyle w:val="Prosttext1"/>
        <w:rPr>
          <w:rFonts w:ascii="Calibri" w:hAnsi="Calibri" w:cs="Arial"/>
          <w:b/>
          <w:i/>
          <w:sz w:val="20"/>
          <w:szCs w:val="20"/>
        </w:rPr>
      </w:pPr>
    </w:p>
    <w:p w:rsidR="0000361B" w:rsidRPr="00B737DE" w:rsidRDefault="0000361B" w:rsidP="00972FE1">
      <w:pPr>
        <w:pStyle w:val="Prosttext1"/>
        <w:rPr>
          <w:rFonts w:ascii="Calibri" w:hAnsi="Calibri" w:cs="Arial"/>
          <w:b/>
          <w:i/>
          <w:sz w:val="20"/>
          <w:szCs w:val="20"/>
        </w:rPr>
      </w:pPr>
      <w:r w:rsidRPr="00B737DE">
        <w:rPr>
          <w:rFonts w:ascii="Calibri" w:hAnsi="Calibri" w:cs="Arial"/>
          <w:b/>
          <w:i/>
          <w:sz w:val="20"/>
          <w:szCs w:val="20"/>
        </w:rPr>
        <w:t xml:space="preserve">Kontakt: </w:t>
      </w:r>
    </w:p>
    <w:p w:rsidR="0000361B" w:rsidRPr="00B03ACB" w:rsidRDefault="0000361B" w:rsidP="00B03ACB">
      <w:pPr>
        <w:rPr>
          <w:rFonts w:ascii="Calibri" w:hAnsi="Calibri" w:cs="Tahoma"/>
          <w:noProof/>
          <w:color w:val="0000A0"/>
          <w:sz w:val="18"/>
          <w:szCs w:val="18"/>
          <w:lang w:eastAsia="cs-CZ"/>
        </w:rPr>
      </w:pPr>
      <w:r w:rsidRPr="00B737DE">
        <w:rPr>
          <w:rFonts w:ascii="Calibri" w:hAnsi="Calibri" w:cs="Arial"/>
          <w:b/>
          <w:bCs/>
          <w:sz w:val="18"/>
          <w:szCs w:val="18"/>
        </w:rPr>
        <w:t>Ilona Ampapová, prezentace a práce s veřejností</w:t>
      </w:r>
      <w:r w:rsidRPr="00B737DE">
        <w:rPr>
          <w:rFonts w:ascii="Calibri" w:hAnsi="Calibri" w:cs="Arial"/>
          <w:sz w:val="18"/>
          <w:szCs w:val="18"/>
        </w:rPr>
        <w:t xml:space="preserve">, NPÚ ÚOP Telč, 724 663 511, </w:t>
      </w:r>
      <w:r w:rsidRPr="00B737DE">
        <w:rPr>
          <w:rFonts w:ascii="Calibri" w:hAnsi="Calibri" w:cs="Tahoma"/>
          <w:noProof/>
          <w:sz w:val="18"/>
          <w:szCs w:val="18"/>
          <w:lang w:eastAsia="cs-CZ"/>
        </w:rPr>
        <w:t xml:space="preserve">e-mail: </w:t>
      </w:r>
      <w:r w:rsidRPr="00B737DE">
        <w:rPr>
          <w:rFonts w:ascii="Calibri" w:hAnsi="Calibri" w:cs="Tahoma"/>
          <w:noProof/>
          <w:color w:val="0000A0"/>
          <w:sz w:val="18"/>
          <w:szCs w:val="18"/>
          <w:lang w:eastAsia="cs-CZ"/>
        </w:rPr>
        <w:t>ampapova.ilona@npu.cz</w:t>
      </w:r>
      <w:r w:rsidRPr="00B737DE">
        <w:rPr>
          <w:rFonts w:ascii="Calibri" w:hAnsi="Calibri"/>
          <w:noProof/>
          <w:color w:val="000080"/>
          <w:sz w:val="18"/>
          <w:szCs w:val="18"/>
          <w:lang w:val="en-US" w:eastAsia="cs-CZ"/>
        </w:rPr>
        <w:t xml:space="preserve"> </w:t>
      </w:r>
    </w:p>
    <w:p w:rsidR="0000361B" w:rsidRPr="00B737DE" w:rsidRDefault="0000361B">
      <w:pPr>
        <w:pStyle w:val="Prosttext1"/>
        <w:rPr>
          <w:rFonts w:ascii="Calibri" w:hAnsi="Calibri" w:cs="Arial"/>
        </w:rPr>
      </w:pPr>
    </w:p>
    <w:sectPr w:rsidR="0000361B" w:rsidRPr="00B737DE" w:rsidSect="00AC07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8" w:right="1134" w:bottom="992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61B" w:rsidRDefault="0000361B">
      <w:r>
        <w:separator/>
      </w:r>
    </w:p>
  </w:endnote>
  <w:endnote w:type="continuationSeparator" w:id="0">
    <w:p w:rsidR="0000361B" w:rsidRDefault="00003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61B" w:rsidRDefault="000036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61B" w:rsidRDefault="0000361B">
    <w:pPr>
      <w:pStyle w:val="Footer"/>
      <w:rPr>
        <w:sz w:val="16"/>
      </w:rPr>
    </w:pPr>
    <w:r>
      <w:rPr>
        <w:sz w:val="16"/>
      </w:rPr>
      <w:t>Hradecká 6,  588 56  Telč</w:t>
    </w:r>
  </w:p>
  <w:p w:rsidR="0000361B" w:rsidRDefault="0000361B">
    <w:pPr>
      <w:pStyle w:val="Footer"/>
      <w:rPr>
        <w:sz w:val="16"/>
      </w:rPr>
    </w:pPr>
    <w:r>
      <w:rPr>
        <w:color w:val="000000"/>
        <w:sz w:val="16"/>
      </w:rPr>
      <w:t>Tel: +420 567 213 116</w:t>
    </w:r>
    <w:r>
      <w:rPr>
        <w:b/>
        <w:bCs/>
        <w:color w:val="000000"/>
        <w:sz w:val="16"/>
      </w:rPr>
      <w:t xml:space="preserve">, </w:t>
    </w:r>
    <w:r>
      <w:rPr>
        <w:color w:val="000000"/>
        <w:sz w:val="16"/>
      </w:rPr>
      <w:t>Fax: +420 567 243 655, E-mail:</w:t>
    </w:r>
    <w:smartTag w:uri="urn:schemas-microsoft-com:office:smarttags" w:element="PersonName">
      <w:r>
        <w:rPr>
          <w:color w:val="000000"/>
          <w:sz w:val="16"/>
        </w:rPr>
        <w:t>ampapova@telc.npu.cz</w:t>
      </w:r>
    </w:smartTag>
    <w:r>
      <w:rPr>
        <w:sz w:val="16"/>
      </w:rPr>
      <w:t>, IČO: 75032333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61B" w:rsidRPr="00BB2458" w:rsidRDefault="0000361B" w:rsidP="0053011B">
    <w:pPr>
      <w:pStyle w:val="Style1"/>
      <w:tabs>
        <w:tab w:val="right" w:pos="9071"/>
      </w:tabs>
      <w:rPr>
        <w:rFonts w:ascii="Calibri" w:hAnsi="Calibri"/>
        <w:sz w:val="18"/>
        <w:szCs w:val="18"/>
      </w:rPr>
    </w:pPr>
    <w:r w:rsidRPr="00BB2458">
      <w:rPr>
        <w:rFonts w:ascii="Calibri" w:hAnsi="Calibri"/>
        <w:sz w:val="18"/>
        <w:szCs w:val="18"/>
      </w:rPr>
      <w:t>Národní památkový ústav, územní odborné pracoviště v Telči | Hradecká 6, 588 56 Telč</w:t>
    </w:r>
    <w:r>
      <w:rPr>
        <w:rFonts w:ascii="Calibri" w:hAnsi="Calibri"/>
        <w:sz w:val="18"/>
        <w:szCs w:val="18"/>
      </w:rPr>
      <w:tab/>
    </w:r>
  </w:p>
  <w:p w:rsidR="0000361B" w:rsidRPr="00BB2458" w:rsidRDefault="0000361B" w:rsidP="0053011B">
    <w:pPr>
      <w:pStyle w:val="Style1"/>
      <w:rPr>
        <w:rFonts w:ascii="Calibri" w:hAnsi="Calibri"/>
        <w:sz w:val="18"/>
        <w:szCs w:val="18"/>
      </w:rPr>
    </w:pPr>
    <w:r w:rsidRPr="00BB2458">
      <w:rPr>
        <w:rFonts w:ascii="Calibri" w:hAnsi="Calibri"/>
        <w:sz w:val="18"/>
        <w:szCs w:val="18"/>
      </w:rPr>
      <w:t>T +420 567 243 655 | F +420 567 243 655 | E epodatelna@npu.cz | DS 2cy8h6t | IČ 75032333 | DIČ CZ75032333</w:t>
    </w:r>
  </w:p>
  <w:p w:rsidR="0000361B" w:rsidRPr="0053011B" w:rsidRDefault="0000361B" w:rsidP="005301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61B" w:rsidRDefault="0000361B">
      <w:r>
        <w:separator/>
      </w:r>
    </w:p>
  </w:footnote>
  <w:footnote w:type="continuationSeparator" w:id="0">
    <w:p w:rsidR="0000361B" w:rsidRDefault="00003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61B" w:rsidRDefault="000036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61B" w:rsidRDefault="0000361B">
    <w:pPr>
      <w:pStyle w:val="Header"/>
      <w:ind w:left="-56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61B" w:rsidRDefault="0000361B" w:rsidP="006D00C9">
    <w:pPr>
      <w:pStyle w:val="Header"/>
      <w:tabs>
        <w:tab w:val="left" w:pos="6983"/>
      </w:tabs>
    </w:pPr>
    <w:r w:rsidRPr="00A00698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219pt;height:58.8pt;visibility:visible">
          <v:imagedata r:id="rId1" o:title=""/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C8D1B24"/>
    <w:multiLevelType w:val="hybridMultilevel"/>
    <w:tmpl w:val="8E1EB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0D5"/>
    <w:rsid w:val="0000361B"/>
    <w:rsid w:val="00011961"/>
    <w:rsid w:val="00012AE3"/>
    <w:rsid w:val="00013F60"/>
    <w:rsid w:val="00020315"/>
    <w:rsid w:val="000227F8"/>
    <w:rsid w:val="00045E6F"/>
    <w:rsid w:val="00045FF4"/>
    <w:rsid w:val="00065FF2"/>
    <w:rsid w:val="00096EC4"/>
    <w:rsid w:val="0009786C"/>
    <w:rsid w:val="000A1B70"/>
    <w:rsid w:val="000A78E7"/>
    <w:rsid w:val="000B62E3"/>
    <w:rsid w:val="000B63C5"/>
    <w:rsid w:val="000C089A"/>
    <w:rsid w:val="000C38AC"/>
    <w:rsid w:val="000C6B66"/>
    <w:rsid w:val="000D17DF"/>
    <w:rsid w:val="000D25E2"/>
    <w:rsid w:val="000D37FB"/>
    <w:rsid w:val="000D559C"/>
    <w:rsid w:val="000D7BAE"/>
    <w:rsid w:val="000E301C"/>
    <w:rsid w:val="000E7258"/>
    <w:rsid w:val="000F0151"/>
    <w:rsid w:val="000F1388"/>
    <w:rsid w:val="000F779A"/>
    <w:rsid w:val="00115874"/>
    <w:rsid w:val="00117D2C"/>
    <w:rsid w:val="00120349"/>
    <w:rsid w:val="00126079"/>
    <w:rsid w:val="00126FDC"/>
    <w:rsid w:val="00135D27"/>
    <w:rsid w:val="001423B3"/>
    <w:rsid w:val="00161938"/>
    <w:rsid w:val="00161E81"/>
    <w:rsid w:val="0017196A"/>
    <w:rsid w:val="00173600"/>
    <w:rsid w:val="00181E2C"/>
    <w:rsid w:val="00184A32"/>
    <w:rsid w:val="00187857"/>
    <w:rsid w:val="001906A9"/>
    <w:rsid w:val="0019127F"/>
    <w:rsid w:val="0019237A"/>
    <w:rsid w:val="001A479E"/>
    <w:rsid w:val="001A52E8"/>
    <w:rsid w:val="001B0E2B"/>
    <w:rsid w:val="001B624C"/>
    <w:rsid w:val="001C4765"/>
    <w:rsid w:val="001C54F7"/>
    <w:rsid w:val="001C6742"/>
    <w:rsid w:val="001C7F3F"/>
    <w:rsid w:val="001D1B85"/>
    <w:rsid w:val="001D2BEE"/>
    <w:rsid w:val="001D421D"/>
    <w:rsid w:val="001D447D"/>
    <w:rsid w:val="001D4D47"/>
    <w:rsid w:val="001D5F11"/>
    <w:rsid w:val="001E1D25"/>
    <w:rsid w:val="001E3AED"/>
    <w:rsid w:val="002159B9"/>
    <w:rsid w:val="00215BA7"/>
    <w:rsid w:val="00224727"/>
    <w:rsid w:val="0023694A"/>
    <w:rsid w:val="00245572"/>
    <w:rsid w:val="00246711"/>
    <w:rsid w:val="00246853"/>
    <w:rsid w:val="002518CE"/>
    <w:rsid w:val="00251B38"/>
    <w:rsid w:val="002622FC"/>
    <w:rsid w:val="00263163"/>
    <w:rsid w:val="002727B5"/>
    <w:rsid w:val="0028182E"/>
    <w:rsid w:val="00282BA8"/>
    <w:rsid w:val="002858E0"/>
    <w:rsid w:val="0028783B"/>
    <w:rsid w:val="00290838"/>
    <w:rsid w:val="00295A00"/>
    <w:rsid w:val="00296E4B"/>
    <w:rsid w:val="002A77CC"/>
    <w:rsid w:val="002B514C"/>
    <w:rsid w:val="002C01E3"/>
    <w:rsid w:val="002C67CC"/>
    <w:rsid w:val="002D20C0"/>
    <w:rsid w:val="002D7BC0"/>
    <w:rsid w:val="002D7E90"/>
    <w:rsid w:val="002E2468"/>
    <w:rsid w:val="002F2995"/>
    <w:rsid w:val="00302303"/>
    <w:rsid w:val="00306673"/>
    <w:rsid w:val="00307172"/>
    <w:rsid w:val="003122BA"/>
    <w:rsid w:val="00314A8A"/>
    <w:rsid w:val="00315F3F"/>
    <w:rsid w:val="00317FDC"/>
    <w:rsid w:val="00320156"/>
    <w:rsid w:val="00323588"/>
    <w:rsid w:val="003352ED"/>
    <w:rsid w:val="003417E5"/>
    <w:rsid w:val="00345434"/>
    <w:rsid w:val="003548A2"/>
    <w:rsid w:val="00376E65"/>
    <w:rsid w:val="0038141E"/>
    <w:rsid w:val="00381DA1"/>
    <w:rsid w:val="00385878"/>
    <w:rsid w:val="00394766"/>
    <w:rsid w:val="00397673"/>
    <w:rsid w:val="003A3DFF"/>
    <w:rsid w:val="003B0B7A"/>
    <w:rsid w:val="003B0C17"/>
    <w:rsid w:val="003B47E2"/>
    <w:rsid w:val="003B513F"/>
    <w:rsid w:val="003D330F"/>
    <w:rsid w:val="003D6577"/>
    <w:rsid w:val="003E2521"/>
    <w:rsid w:val="003E28FC"/>
    <w:rsid w:val="003E7FF5"/>
    <w:rsid w:val="003F1734"/>
    <w:rsid w:val="003F41DC"/>
    <w:rsid w:val="00411D5B"/>
    <w:rsid w:val="00417471"/>
    <w:rsid w:val="00421E27"/>
    <w:rsid w:val="004253A4"/>
    <w:rsid w:val="00427101"/>
    <w:rsid w:val="004271FA"/>
    <w:rsid w:val="0043370D"/>
    <w:rsid w:val="00434D78"/>
    <w:rsid w:val="004426B8"/>
    <w:rsid w:val="004461D2"/>
    <w:rsid w:val="0044635D"/>
    <w:rsid w:val="0045133D"/>
    <w:rsid w:val="004535CE"/>
    <w:rsid w:val="00455A29"/>
    <w:rsid w:val="00455E12"/>
    <w:rsid w:val="00457915"/>
    <w:rsid w:val="00461112"/>
    <w:rsid w:val="00462284"/>
    <w:rsid w:val="004659AD"/>
    <w:rsid w:val="00472EC1"/>
    <w:rsid w:val="00475F01"/>
    <w:rsid w:val="004824A5"/>
    <w:rsid w:val="00483530"/>
    <w:rsid w:val="00484174"/>
    <w:rsid w:val="00486EA7"/>
    <w:rsid w:val="00487F8A"/>
    <w:rsid w:val="00491538"/>
    <w:rsid w:val="0049243F"/>
    <w:rsid w:val="00497313"/>
    <w:rsid w:val="00497AC6"/>
    <w:rsid w:val="004A37E7"/>
    <w:rsid w:val="004B6707"/>
    <w:rsid w:val="004B6CFA"/>
    <w:rsid w:val="004C5944"/>
    <w:rsid w:val="004D0650"/>
    <w:rsid w:val="004D2AEC"/>
    <w:rsid w:val="004D776C"/>
    <w:rsid w:val="004E44A9"/>
    <w:rsid w:val="004F2899"/>
    <w:rsid w:val="004F4879"/>
    <w:rsid w:val="00502863"/>
    <w:rsid w:val="005148CD"/>
    <w:rsid w:val="0052324C"/>
    <w:rsid w:val="005232ED"/>
    <w:rsid w:val="0053011B"/>
    <w:rsid w:val="00541C67"/>
    <w:rsid w:val="00564980"/>
    <w:rsid w:val="0056533A"/>
    <w:rsid w:val="00571F73"/>
    <w:rsid w:val="00576DEE"/>
    <w:rsid w:val="00577C1A"/>
    <w:rsid w:val="00580122"/>
    <w:rsid w:val="0058016F"/>
    <w:rsid w:val="00586050"/>
    <w:rsid w:val="00591FED"/>
    <w:rsid w:val="0059330A"/>
    <w:rsid w:val="00597DC9"/>
    <w:rsid w:val="005A5550"/>
    <w:rsid w:val="005B0D79"/>
    <w:rsid w:val="005B2BC2"/>
    <w:rsid w:val="005B62E3"/>
    <w:rsid w:val="005B6CAA"/>
    <w:rsid w:val="005D61EC"/>
    <w:rsid w:val="005E620F"/>
    <w:rsid w:val="005F23CB"/>
    <w:rsid w:val="005F2F5A"/>
    <w:rsid w:val="005F3B12"/>
    <w:rsid w:val="005F640B"/>
    <w:rsid w:val="00603BF8"/>
    <w:rsid w:val="006064A8"/>
    <w:rsid w:val="00611F86"/>
    <w:rsid w:val="006120DA"/>
    <w:rsid w:val="006134C2"/>
    <w:rsid w:val="006171F8"/>
    <w:rsid w:val="00627F36"/>
    <w:rsid w:val="0063024E"/>
    <w:rsid w:val="00642311"/>
    <w:rsid w:val="00642A88"/>
    <w:rsid w:val="00647DA7"/>
    <w:rsid w:val="00650A1A"/>
    <w:rsid w:val="006627AE"/>
    <w:rsid w:val="0066543D"/>
    <w:rsid w:val="00667AC9"/>
    <w:rsid w:val="00672CC0"/>
    <w:rsid w:val="006747CC"/>
    <w:rsid w:val="00674957"/>
    <w:rsid w:val="00675254"/>
    <w:rsid w:val="00680966"/>
    <w:rsid w:val="00683EC5"/>
    <w:rsid w:val="00684F9A"/>
    <w:rsid w:val="006927B2"/>
    <w:rsid w:val="00693854"/>
    <w:rsid w:val="006A055D"/>
    <w:rsid w:val="006A4CE5"/>
    <w:rsid w:val="006A64AF"/>
    <w:rsid w:val="006B3C31"/>
    <w:rsid w:val="006B74A6"/>
    <w:rsid w:val="006C128A"/>
    <w:rsid w:val="006C3BD9"/>
    <w:rsid w:val="006D00C9"/>
    <w:rsid w:val="006D14BF"/>
    <w:rsid w:val="006D209B"/>
    <w:rsid w:val="006E4D34"/>
    <w:rsid w:val="006E6814"/>
    <w:rsid w:val="00703A93"/>
    <w:rsid w:val="0070471E"/>
    <w:rsid w:val="00706451"/>
    <w:rsid w:val="0071535D"/>
    <w:rsid w:val="00715FC2"/>
    <w:rsid w:val="007172AD"/>
    <w:rsid w:val="00725B9C"/>
    <w:rsid w:val="00725C10"/>
    <w:rsid w:val="0073553E"/>
    <w:rsid w:val="00744F74"/>
    <w:rsid w:val="00746C0C"/>
    <w:rsid w:val="00754CA2"/>
    <w:rsid w:val="00765A0A"/>
    <w:rsid w:val="00771789"/>
    <w:rsid w:val="007758E7"/>
    <w:rsid w:val="00783FC9"/>
    <w:rsid w:val="00793838"/>
    <w:rsid w:val="007A1782"/>
    <w:rsid w:val="007A2D5D"/>
    <w:rsid w:val="007A3697"/>
    <w:rsid w:val="007A6760"/>
    <w:rsid w:val="007B1971"/>
    <w:rsid w:val="007B61F7"/>
    <w:rsid w:val="007B6990"/>
    <w:rsid w:val="007B6D65"/>
    <w:rsid w:val="007E1E78"/>
    <w:rsid w:val="007E4504"/>
    <w:rsid w:val="007F3E4E"/>
    <w:rsid w:val="007F5939"/>
    <w:rsid w:val="007F6E95"/>
    <w:rsid w:val="00802FEE"/>
    <w:rsid w:val="00804221"/>
    <w:rsid w:val="008171BA"/>
    <w:rsid w:val="00817F81"/>
    <w:rsid w:val="008227FE"/>
    <w:rsid w:val="00823A8D"/>
    <w:rsid w:val="00824A87"/>
    <w:rsid w:val="00832A88"/>
    <w:rsid w:val="00832FCB"/>
    <w:rsid w:val="00843184"/>
    <w:rsid w:val="00843D93"/>
    <w:rsid w:val="008443DB"/>
    <w:rsid w:val="00846D00"/>
    <w:rsid w:val="00850882"/>
    <w:rsid w:val="00857AC0"/>
    <w:rsid w:val="00860B6B"/>
    <w:rsid w:val="0086131B"/>
    <w:rsid w:val="0086535E"/>
    <w:rsid w:val="00865F48"/>
    <w:rsid w:val="008663AB"/>
    <w:rsid w:val="008702EC"/>
    <w:rsid w:val="008728C2"/>
    <w:rsid w:val="00883161"/>
    <w:rsid w:val="00883C5A"/>
    <w:rsid w:val="00891B2D"/>
    <w:rsid w:val="008943AB"/>
    <w:rsid w:val="008A13D5"/>
    <w:rsid w:val="008C3852"/>
    <w:rsid w:val="008C4551"/>
    <w:rsid w:val="008D017E"/>
    <w:rsid w:val="008D45CA"/>
    <w:rsid w:val="008D5D3E"/>
    <w:rsid w:val="008E3996"/>
    <w:rsid w:val="008E5404"/>
    <w:rsid w:val="008F059E"/>
    <w:rsid w:val="008F4FDF"/>
    <w:rsid w:val="00902459"/>
    <w:rsid w:val="009045DB"/>
    <w:rsid w:val="00904610"/>
    <w:rsid w:val="00924080"/>
    <w:rsid w:val="009278B6"/>
    <w:rsid w:val="00927B39"/>
    <w:rsid w:val="0093281F"/>
    <w:rsid w:val="00933A9E"/>
    <w:rsid w:val="00947493"/>
    <w:rsid w:val="009479CD"/>
    <w:rsid w:val="009537C8"/>
    <w:rsid w:val="0096529B"/>
    <w:rsid w:val="00972FE1"/>
    <w:rsid w:val="00977AFE"/>
    <w:rsid w:val="009917DC"/>
    <w:rsid w:val="00992DED"/>
    <w:rsid w:val="00994BE8"/>
    <w:rsid w:val="00997D44"/>
    <w:rsid w:val="009A3160"/>
    <w:rsid w:val="009A54C5"/>
    <w:rsid w:val="009B36F2"/>
    <w:rsid w:val="009B3ECE"/>
    <w:rsid w:val="009C0DC1"/>
    <w:rsid w:val="009C4744"/>
    <w:rsid w:val="009C6E7B"/>
    <w:rsid w:val="009E326C"/>
    <w:rsid w:val="009E4F2D"/>
    <w:rsid w:val="009E6583"/>
    <w:rsid w:val="009F25F3"/>
    <w:rsid w:val="009F3E55"/>
    <w:rsid w:val="009F4E1F"/>
    <w:rsid w:val="009F7111"/>
    <w:rsid w:val="009F7BCF"/>
    <w:rsid w:val="00A00698"/>
    <w:rsid w:val="00A21258"/>
    <w:rsid w:val="00A24C49"/>
    <w:rsid w:val="00A570D5"/>
    <w:rsid w:val="00A61AB3"/>
    <w:rsid w:val="00A64597"/>
    <w:rsid w:val="00A7349B"/>
    <w:rsid w:val="00A7730C"/>
    <w:rsid w:val="00A805CF"/>
    <w:rsid w:val="00A8417F"/>
    <w:rsid w:val="00AA2112"/>
    <w:rsid w:val="00AA4CC7"/>
    <w:rsid w:val="00AA61DE"/>
    <w:rsid w:val="00AB0395"/>
    <w:rsid w:val="00AB5AAA"/>
    <w:rsid w:val="00AC071D"/>
    <w:rsid w:val="00AD57AA"/>
    <w:rsid w:val="00AD7E0B"/>
    <w:rsid w:val="00AE653F"/>
    <w:rsid w:val="00AF0075"/>
    <w:rsid w:val="00B03ACB"/>
    <w:rsid w:val="00B11D90"/>
    <w:rsid w:val="00B1274F"/>
    <w:rsid w:val="00B12AD1"/>
    <w:rsid w:val="00B17E1E"/>
    <w:rsid w:val="00B34B44"/>
    <w:rsid w:val="00B43435"/>
    <w:rsid w:val="00B47282"/>
    <w:rsid w:val="00B514FD"/>
    <w:rsid w:val="00B545E5"/>
    <w:rsid w:val="00B668CB"/>
    <w:rsid w:val="00B67AD8"/>
    <w:rsid w:val="00B737DE"/>
    <w:rsid w:val="00B76BCC"/>
    <w:rsid w:val="00B804B1"/>
    <w:rsid w:val="00B8142E"/>
    <w:rsid w:val="00B823F5"/>
    <w:rsid w:val="00B9384D"/>
    <w:rsid w:val="00B95796"/>
    <w:rsid w:val="00BA3E29"/>
    <w:rsid w:val="00BB2409"/>
    <w:rsid w:val="00BB2458"/>
    <w:rsid w:val="00BC3BFA"/>
    <w:rsid w:val="00BD266A"/>
    <w:rsid w:val="00BD2C75"/>
    <w:rsid w:val="00BF23DD"/>
    <w:rsid w:val="00BF3499"/>
    <w:rsid w:val="00BF3BCA"/>
    <w:rsid w:val="00C07040"/>
    <w:rsid w:val="00C12DD0"/>
    <w:rsid w:val="00C145A8"/>
    <w:rsid w:val="00C14EBE"/>
    <w:rsid w:val="00C14EEE"/>
    <w:rsid w:val="00C20D70"/>
    <w:rsid w:val="00C2500B"/>
    <w:rsid w:val="00C26C5E"/>
    <w:rsid w:val="00C26D4E"/>
    <w:rsid w:val="00C312E4"/>
    <w:rsid w:val="00C32D26"/>
    <w:rsid w:val="00C33CE1"/>
    <w:rsid w:val="00C34D7E"/>
    <w:rsid w:val="00C3646D"/>
    <w:rsid w:val="00C64C4B"/>
    <w:rsid w:val="00C66897"/>
    <w:rsid w:val="00C6793A"/>
    <w:rsid w:val="00C72206"/>
    <w:rsid w:val="00C75E0C"/>
    <w:rsid w:val="00C81662"/>
    <w:rsid w:val="00C869AA"/>
    <w:rsid w:val="00C86C40"/>
    <w:rsid w:val="00C90CE7"/>
    <w:rsid w:val="00C9110D"/>
    <w:rsid w:val="00CA1B59"/>
    <w:rsid w:val="00CA425C"/>
    <w:rsid w:val="00CB1C99"/>
    <w:rsid w:val="00CB6C1B"/>
    <w:rsid w:val="00CC40A6"/>
    <w:rsid w:val="00CC439F"/>
    <w:rsid w:val="00CC5BF8"/>
    <w:rsid w:val="00CC6098"/>
    <w:rsid w:val="00CD22E5"/>
    <w:rsid w:val="00CD6F00"/>
    <w:rsid w:val="00CE4920"/>
    <w:rsid w:val="00CF1599"/>
    <w:rsid w:val="00CF57E0"/>
    <w:rsid w:val="00CF6F97"/>
    <w:rsid w:val="00D05187"/>
    <w:rsid w:val="00D20390"/>
    <w:rsid w:val="00D228FB"/>
    <w:rsid w:val="00D23B05"/>
    <w:rsid w:val="00D25BE1"/>
    <w:rsid w:val="00D25F5E"/>
    <w:rsid w:val="00D44C2A"/>
    <w:rsid w:val="00D473BA"/>
    <w:rsid w:val="00D52D83"/>
    <w:rsid w:val="00D54755"/>
    <w:rsid w:val="00D5563A"/>
    <w:rsid w:val="00D70041"/>
    <w:rsid w:val="00D76B06"/>
    <w:rsid w:val="00D82B56"/>
    <w:rsid w:val="00D834DB"/>
    <w:rsid w:val="00D83ACC"/>
    <w:rsid w:val="00D95330"/>
    <w:rsid w:val="00D96E18"/>
    <w:rsid w:val="00D97327"/>
    <w:rsid w:val="00DA2DB0"/>
    <w:rsid w:val="00DA73DF"/>
    <w:rsid w:val="00DA7F9D"/>
    <w:rsid w:val="00DB2113"/>
    <w:rsid w:val="00DB2B89"/>
    <w:rsid w:val="00DB51D6"/>
    <w:rsid w:val="00DB552B"/>
    <w:rsid w:val="00DB5C34"/>
    <w:rsid w:val="00DC0A4B"/>
    <w:rsid w:val="00DC0FD6"/>
    <w:rsid w:val="00DC2F50"/>
    <w:rsid w:val="00DC52D3"/>
    <w:rsid w:val="00DC55A5"/>
    <w:rsid w:val="00DE4DB8"/>
    <w:rsid w:val="00DE7AFE"/>
    <w:rsid w:val="00DF5C73"/>
    <w:rsid w:val="00E02D1E"/>
    <w:rsid w:val="00E07EFD"/>
    <w:rsid w:val="00E10A97"/>
    <w:rsid w:val="00E1594E"/>
    <w:rsid w:val="00E17B17"/>
    <w:rsid w:val="00E2159E"/>
    <w:rsid w:val="00E313BA"/>
    <w:rsid w:val="00E32130"/>
    <w:rsid w:val="00E3374B"/>
    <w:rsid w:val="00E343E4"/>
    <w:rsid w:val="00E34C4A"/>
    <w:rsid w:val="00E47040"/>
    <w:rsid w:val="00E51DAA"/>
    <w:rsid w:val="00E54435"/>
    <w:rsid w:val="00E54844"/>
    <w:rsid w:val="00E60DF7"/>
    <w:rsid w:val="00E709EB"/>
    <w:rsid w:val="00E77B0E"/>
    <w:rsid w:val="00E82F52"/>
    <w:rsid w:val="00E96E60"/>
    <w:rsid w:val="00E97C0A"/>
    <w:rsid w:val="00EB5C86"/>
    <w:rsid w:val="00ED1868"/>
    <w:rsid w:val="00EE3CDC"/>
    <w:rsid w:val="00EF1640"/>
    <w:rsid w:val="00EF5724"/>
    <w:rsid w:val="00EF624A"/>
    <w:rsid w:val="00F00910"/>
    <w:rsid w:val="00F0102F"/>
    <w:rsid w:val="00F03101"/>
    <w:rsid w:val="00F03169"/>
    <w:rsid w:val="00F10CC0"/>
    <w:rsid w:val="00F20107"/>
    <w:rsid w:val="00F20C28"/>
    <w:rsid w:val="00F27089"/>
    <w:rsid w:val="00F47367"/>
    <w:rsid w:val="00F54175"/>
    <w:rsid w:val="00F56A79"/>
    <w:rsid w:val="00F6742D"/>
    <w:rsid w:val="00F67855"/>
    <w:rsid w:val="00F704AC"/>
    <w:rsid w:val="00FA1549"/>
    <w:rsid w:val="00FA3C85"/>
    <w:rsid w:val="00FA4185"/>
    <w:rsid w:val="00FA4EF0"/>
    <w:rsid w:val="00FB1125"/>
    <w:rsid w:val="00FB3EC4"/>
    <w:rsid w:val="00FB4726"/>
    <w:rsid w:val="00FD4B8D"/>
    <w:rsid w:val="00FD6062"/>
    <w:rsid w:val="00FF4215"/>
    <w:rsid w:val="00FF4BC1"/>
    <w:rsid w:val="00FF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71D"/>
    <w:pPr>
      <w:suppressAutoHyphens/>
    </w:pPr>
    <w:rPr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071D"/>
    <w:pPr>
      <w:keepNext/>
      <w:tabs>
        <w:tab w:val="num" w:pos="432"/>
      </w:tabs>
      <w:ind w:right="567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071D"/>
    <w:pPr>
      <w:keepNext/>
      <w:tabs>
        <w:tab w:val="num" w:pos="576"/>
      </w:tabs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071D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/>
      <w:b/>
      <w:sz w:val="26"/>
      <w:lang w:eastAsia="ar-SA" w:bidi="ar-SA"/>
    </w:rPr>
  </w:style>
  <w:style w:type="character" w:customStyle="1" w:styleId="WW8Num2z0">
    <w:name w:val="WW8Num2z0"/>
    <w:uiPriority w:val="99"/>
    <w:rsid w:val="00AC071D"/>
    <w:rPr>
      <w:rFonts w:ascii="Symbol" w:hAnsi="Symbol"/>
    </w:rPr>
  </w:style>
  <w:style w:type="character" w:customStyle="1" w:styleId="WW8Num2z1">
    <w:name w:val="WW8Num2z1"/>
    <w:uiPriority w:val="99"/>
    <w:rsid w:val="00AC071D"/>
    <w:rPr>
      <w:rFonts w:ascii="Courier New" w:hAnsi="Courier New"/>
    </w:rPr>
  </w:style>
  <w:style w:type="character" w:customStyle="1" w:styleId="WW8Num2z2">
    <w:name w:val="WW8Num2z2"/>
    <w:uiPriority w:val="99"/>
    <w:rsid w:val="00AC071D"/>
    <w:rPr>
      <w:rFonts w:ascii="Wingdings" w:hAnsi="Wingdings"/>
    </w:rPr>
  </w:style>
  <w:style w:type="character" w:customStyle="1" w:styleId="WW8Num3z0">
    <w:name w:val="WW8Num3z0"/>
    <w:uiPriority w:val="99"/>
    <w:rsid w:val="00AC071D"/>
    <w:rPr>
      <w:rFonts w:ascii="Symbol" w:hAnsi="Symbol"/>
    </w:rPr>
  </w:style>
  <w:style w:type="character" w:customStyle="1" w:styleId="WW8Num3z1">
    <w:name w:val="WW8Num3z1"/>
    <w:uiPriority w:val="99"/>
    <w:rsid w:val="00AC071D"/>
    <w:rPr>
      <w:rFonts w:ascii="Courier New" w:hAnsi="Courier New"/>
    </w:rPr>
  </w:style>
  <w:style w:type="character" w:customStyle="1" w:styleId="WW8Num3z2">
    <w:name w:val="WW8Num3z2"/>
    <w:uiPriority w:val="99"/>
    <w:rsid w:val="00AC071D"/>
    <w:rPr>
      <w:rFonts w:ascii="Wingdings" w:hAnsi="Wingdings"/>
    </w:rPr>
  </w:style>
  <w:style w:type="character" w:customStyle="1" w:styleId="Standardnpsmoodstavce2">
    <w:name w:val="Standardní písmo odstavce2"/>
    <w:uiPriority w:val="99"/>
    <w:rsid w:val="00AC071D"/>
  </w:style>
  <w:style w:type="character" w:customStyle="1" w:styleId="Standardnpsmoodstavce1">
    <w:name w:val="Standardní písmo odstavce1"/>
    <w:uiPriority w:val="99"/>
    <w:rsid w:val="00AC071D"/>
  </w:style>
  <w:style w:type="character" w:styleId="PageNumber">
    <w:name w:val="page number"/>
    <w:basedOn w:val="DefaultParagraphFont"/>
    <w:uiPriority w:val="99"/>
    <w:rsid w:val="00AC071D"/>
    <w:rPr>
      <w:rFonts w:cs="Times New Roman"/>
    </w:rPr>
  </w:style>
  <w:style w:type="character" w:styleId="Strong">
    <w:name w:val="Strong"/>
    <w:basedOn w:val="DefaultParagraphFont"/>
    <w:uiPriority w:val="99"/>
    <w:qFormat/>
    <w:rsid w:val="00AC071D"/>
    <w:rPr>
      <w:rFonts w:cs="Times New Roman"/>
      <w:b/>
    </w:rPr>
  </w:style>
  <w:style w:type="character" w:styleId="Hyperlink">
    <w:name w:val="Hyperlink"/>
    <w:basedOn w:val="DefaultParagraphFont"/>
    <w:uiPriority w:val="99"/>
    <w:rsid w:val="00AC071D"/>
    <w:rPr>
      <w:rFonts w:cs="Times New Roman"/>
      <w:color w:val="0000FF"/>
      <w:u w:val="single"/>
    </w:rPr>
  </w:style>
  <w:style w:type="character" w:customStyle="1" w:styleId="FormtovanvHTMLChar">
    <w:name w:val="Formátovaný v HTML Char"/>
    <w:uiPriority w:val="99"/>
    <w:rsid w:val="00AC071D"/>
    <w:rPr>
      <w:rFonts w:ascii="Courier New" w:hAnsi="Courier New"/>
    </w:rPr>
  </w:style>
  <w:style w:type="paragraph" w:customStyle="1" w:styleId="Nadpis">
    <w:name w:val="Nadpis"/>
    <w:basedOn w:val="Normal"/>
    <w:next w:val="BodyText"/>
    <w:uiPriority w:val="99"/>
    <w:rsid w:val="00AC071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AC07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lang w:eastAsia="ar-SA" w:bidi="ar-SA"/>
    </w:rPr>
  </w:style>
  <w:style w:type="paragraph" w:styleId="List">
    <w:name w:val="List"/>
    <w:basedOn w:val="BodyText"/>
    <w:uiPriority w:val="99"/>
    <w:semiHidden/>
    <w:rsid w:val="00AC071D"/>
    <w:rPr>
      <w:rFonts w:cs="Tahoma"/>
    </w:rPr>
  </w:style>
  <w:style w:type="paragraph" w:customStyle="1" w:styleId="Popisek">
    <w:name w:val="Popisek"/>
    <w:basedOn w:val="Normal"/>
    <w:uiPriority w:val="99"/>
    <w:rsid w:val="00AC071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al"/>
    <w:uiPriority w:val="99"/>
    <w:rsid w:val="00AC071D"/>
    <w:pPr>
      <w:suppressLineNumbers/>
    </w:pPr>
    <w:rPr>
      <w:rFonts w:cs="Tahoma"/>
    </w:rPr>
  </w:style>
  <w:style w:type="paragraph" w:styleId="Footer">
    <w:name w:val="footer"/>
    <w:basedOn w:val="Normal"/>
    <w:link w:val="FooterChar"/>
    <w:uiPriority w:val="99"/>
    <w:semiHidden/>
    <w:rsid w:val="00AC071D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lang w:eastAsia="ar-SA" w:bidi="ar-SA"/>
    </w:rPr>
  </w:style>
  <w:style w:type="paragraph" w:styleId="Header">
    <w:name w:val="header"/>
    <w:basedOn w:val="Normal"/>
    <w:link w:val="HeaderChar"/>
    <w:uiPriority w:val="99"/>
    <w:semiHidden/>
    <w:rsid w:val="00AC071D"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lang w:eastAsia="ar-SA" w:bidi="ar-SA"/>
    </w:rPr>
  </w:style>
  <w:style w:type="paragraph" w:customStyle="1" w:styleId="Rozvrendokumentu1">
    <w:name w:val="Rozvržení dokumentu1"/>
    <w:basedOn w:val="Normal"/>
    <w:uiPriority w:val="99"/>
    <w:rsid w:val="00AC071D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AC071D"/>
    <w:pPr>
      <w:spacing w:before="100" w:after="119"/>
    </w:pPr>
    <w:rPr>
      <w:sz w:val="24"/>
      <w:szCs w:val="24"/>
    </w:rPr>
  </w:style>
  <w:style w:type="paragraph" w:customStyle="1" w:styleId="Zkladntext31">
    <w:name w:val="Základní text 31"/>
    <w:basedOn w:val="Normal"/>
    <w:uiPriority w:val="99"/>
    <w:rsid w:val="00AC071D"/>
    <w:pPr>
      <w:autoSpaceDE w:val="0"/>
      <w:spacing w:line="312" w:lineRule="auto"/>
    </w:pPr>
    <w:rPr>
      <w:rFonts w:ascii="Arial" w:hAnsi="Arial" w:cs="Arial"/>
      <w:szCs w:val="24"/>
    </w:rPr>
  </w:style>
  <w:style w:type="paragraph" w:customStyle="1" w:styleId="Prosttext1">
    <w:name w:val="Prostý text1"/>
    <w:basedOn w:val="Normal"/>
    <w:uiPriority w:val="99"/>
    <w:rsid w:val="00AC071D"/>
    <w:rPr>
      <w:rFonts w:ascii="Verdana" w:hAnsi="Verdana"/>
      <w:sz w:val="18"/>
      <w:szCs w:val="21"/>
    </w:rPr>
  </w:style>
  <w:style w:type="paragraph" w:customStyle="1" w:styleId="Obsahrmce">
    <w:name w:val="Obsah rámce"/>
    <w:basedOn w:val="BodyText"/>
    <w:uiPriority w:val="99"/>
    <w:rsid w:val="00AC071D"/>
  </w:style>
  <w:style w:type="paragraph" w:customStyle="1" w:styleId="Zkladntext21">
    <w:name w:val="Základní text 21"/>
    <w:basedOn w:val="Normal"/>
    <w:uiPriority w:val="99"/>
    <w:rsid w:val="00AC071D"/>
    <w:pPr>
      <w:suppressAutoHyphens w:val="0"/>
      <w:overflowPunct w:val="0"/>
      <w:autoSpaceDE w:val="0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99"/>
    <w:qFormat/>
    <w:rsid w:val="00AC071D"/>
    <w:pPr>
      <w:suppressAutoHyphens w:val="0"/>
      <w:spacing w:before="100" w:after="100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AC07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/>
      <w:sz w:val="20"/>
      <w:lang w:eastAsia="ar-SA" w:bidi="ar-SA"/>
    </w:rPr>
  </w:style>
  <w:style w:type="paragraph" w:customStyle="1" w:styleId="actiondate">
    <w:name w:val="action_date"/>
    <w:basedOn w:val="Normal"/>
    <w:uiPriority w:val="99"/>
    <w:rsid w:val="00A61AB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apple-tab-span">
    <w:name w:val="apple-tab-span"/>
    <w:basedOn w:val="DefaultParagraphFont"/>
    <w:uiPriority w:val="99"/>
    <w:rsid w:val="00263163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972FE1"/>
    <w:rPr>
      <w:rFonts w:cs="Times New Roman"/>
      <w:color w:val="800080"/>
      <w:u w:val="single"/>
    </w:rPr>
  </w:style>
  <w:style w:type="paragraph" w:customStyle="1" w:styleId="Style1">
    <w:name w:val="Style1"/>
    <w:basedOn w:val="Normal"/>
    <w:uiPriority w:val="99"/>
    <w:rsid w:val="0053011B"/>
    <w:pPr>
      <w:suppressAutoHyphens w:val="0"/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9F3E55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F3E55"/>
    <w:rPr>
      <w:rFonts w:ascii="Tahoma" w:hAnsi="Tahoma"/>
      <w:sz w:val="16"/>
      <w:lang w:eastAsia="ar-SA" w:bidi="ar-SA"/>
    </w:rPr>
  </w:style>
  <w:style w:type="character" w:customStyle="1" w:styleId="notranslate">
    <w:name w:val="notranslate"/>
    <w:uiPriority w:val="99"/>
    <w:rsid w:val="006E4D34"/>
  </w:style>
  <w:style w:type="paragraph" w:customStyle="1" w:styleId="bgcolor">
    <w:name w:val="bgcolor"/>
    <w:basedOn w:val="Normal"/>
    <w:uiPriority w:val="99"/>
    <w:rsid w:val="000D7BA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textsmaller">
    <w:name w:val="textsmaller"/>
    <w:uiPriority w:val="99"/>
    <w:rsid w:val="000D7BAE"/>
    <w:rPr>
      <w:rFonts w:ascii="Times New Roman" w:hAnsi="Times New Roman"/>
    </w:rPr>
  </w:style>
  <w:style w:type="paragraph" w:customStyle="1" w:styleId="Default">
    <w:name w:val="Default"/>
    <w:uiPriority w:val="99"/>
    <w:rsid w:val="0063024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2">
    <w:name w:val="A2"/>
    <w:uiPriority w:val="99"/>
    <w:rsid w:val="0063024E"/>
    <w:rPr>
      <w:color w:val="000000"/>
      <w:sz w:val="42"/>
    </w:rPr>
  </w:style>
  <w:style w:type="paragraph" w:styleId="BalloonText">
    <w:name w:val="Balloon Text"/>
    <w:basedOn w:val="Normal"/>
    <w:link w:val="BalloonTextChar"/>
    <w:uiPriority w:val="99"/>
    <w:semiHidden/>
    <w:rsid w:val="00883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3161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76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0322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17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76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76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76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76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pu-telc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766</Words>
  <Characters>4525</Characters>
  <Application>Microsoft Office Outlook</Application>
  <DocSecurity>0</DocSecurity>
  <Lines>0</Lines>
  <Paragraphs>0</Paragraphs>
  <ScaleCrop>false</ScaleCrop>
  <Company>NPÚ ÚOP v Telči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NPU UOP Telc</dc:creator>
  <cp:keywords/>
  <dc:description/>
  <cp:lastModifiedBy>Kucerova</cp:lastModifiedBy>
  <cp:revision>2</cp:revision>
  <cp:lastPrinted>2015-04-13T11:38:00Z</cp:lastPrinted>
  <dcterms:created xsi:type="dcterms:W3CDTF">2015-04-14T13:04:00Z</dcterms:created>
  <dcterms:modified xsi:type="dcterms:W3CDTF">2015-04-14T13:04:00Z</dcterms:modified>
</cp:coreProperties>
</file>